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63" w:rsidRDefault="00A13725" w:rsidP="00F21262">
      <w:pPr>
        <w:pStyle w:val="aff5"/>
        <w:jc w:val="center"/>
        <w:rPr>
          <w:rStyle w:val="aff6"/>
          <w:sz w:val="28"/>
          <w:szCs w:val="28"/>
        </w:rPr>
      </w:pPr>
      <w:bookmarkStart w:id="0" w:name="_GoBack"/>
      <w:bookmarkEnd w:id="0"/>
      <w:r>
        <w:rPr>
          <w:b/>
          <w:smallCaps/>
          <w:noProof/>
          <w:spacing w:val="5"/>
          <w:sz w:val="28"/>
        </w:rPr>
        <w:drawing>
          <wp:inline distT="0" distB="0" distL="0" distR="0">
            <wp:extent cx="474345" cy="787400"/>
            <wp:effectExtent l="19050" t="0" r="1905" b="0"/>
            <wp:docPr id="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62" w:rsidRPr="003A1410" w:rsidRDefault="0096317B" w:rsidP="00F21262">
      <w:pPr>
        <w:pStyle w:val="aff5"/>
        <w:jc w:val="center"/>
        <w:rPr>
          <w:rStyle w:val="aff6"/>
          <w:sz w:val="28"/>
          <w:szCs w:val="28"/>
        </w:rPr>
      </w:pPr>
      <w:r>
        <w:rPr>
          <w:rStyle w:val="aff6"/>
          <w:sz w:val="28"/>
          <w:szCs w:val="28"/>
        </w:rPr>
        <w:t xml:space="preserve">КОНТРОЛЬНО – СЧЕТНЫЙ </w:t>
      </w:r>
      <w:r w:rsidR="00F21262" w:rsidRPr="003A1410">
        <w:rPr>
          <w:rStyle w:val="aff6"/>
          <w:sz w:val="28"/>
          <w:szCs w:val="28"/>
        </w:rPr>
        <w:t>ОРГАН</w:t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 xml:space="preserve"> «СЧЕТНАЯ ПАЛАТА»</w:t>
      </w:r>
    </w:p>
    <w:p w:rsidR="00F21262" w:rsidRPr="00CC6B86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</w:p>
    <w:p w:rsidR="00F21262" w:rsidRPr="00DE341B" w:rsidRDefault="00F21262" w:rsidP="00F21262">
      <w:pPr>
        <w:pStyle w:val="aff5"/>
        <w:jc w:val="center"/>
        <w:rPr>
          <w:rStyle w:val="aff7"/>
          <w:sz w:val="16"/>
          <w:szCs w:val="16"/>
        </w:rPr>
      </w:pPr>
      <w:r w:rsidRPr="00D91D9E">
        <w:rPr>
          <w:rStyle w:val="aff7"/>
          <w:sz w:val="16"/>
          <w:szCs w:val="16"/>
        </w:rPr>
        <w:t>462100, Оренбургская область, п.Саракташ, ул.Свердлова/Депутатская, 5/5, тел. (35333) 6-11-97 E-mail:</w:t>
      </w:r>
      <w:r w:rsidRPr="00DE341B">
        <w:rPr>
          <w:rStyle w:val="aff7"/>
          <w:sz w:val="16"/>
          <w:szCs w:val="16"/>
        </w:rPr>
        <w:t xml:space="preserve"> </w:t>
      </w:r>
      <w:r w:rsidRPr="00D91D9E">
        <w:rPr>
          <w:rStyle w:val="aff7"/>
          <w:sz w:val="16"/>
          <w:szCs w:val="16"/>
          <w:lang w:val="en-US"/>
        </w:rPr>
        <w:t>lan</w:t>
      </w:r>
      <w:r w:rsidRPr="00DE341B">
        <w:rPr>
          <w:rStyle w:val="aff7"/>
          <w:sz w:val="16"/>
          <w:szCs w:val="16"/>
        </w:rPr>
        <w:t>-</w:t>
      </w:r>
      <w:r w:rsidRPr="00D91D9E">
        <w:rPr>
          <w:rStyle w:val="aff7"/>
          <w:sz w:val="16"/>
          <w:szCs w:val="16"/>
          <w:lang w:val="en-US"/>
        </w:rPr>
        <w:t>ksp</w:t>
      </w:r>
      <w:r w:rsidRPr="00DE341B">
        <w:rPr>
          <w:rStyle w:val="aff7"/>
          <w:sz w:val="16"/>
          <w:szCs w:val="16"/>
        </w:rPr>
        <w:t>@</w:t>
      </w:r>
      <w:r w:rsidRPr="00D91D9E">
        <w:rPr>
          <w:rStyle w:val="aff7"/>
          <w:sz w:val="16"/>
          <w:szCs w:val="16"/>
          <w:lang w:val="en-US"/>
        </w:rPr>
        <w:t>mail</w:t>
      </w:r>
      <w:r w:rsidRPr="00DE341B">
        <w:rPr>
          <w:rStyle w:val="aff7"/>
          <w:sz w:val="16"/>
          <w:szCs w:val="16"/>
        </w:rPr>
        <w:t>.</w:t>
      </w:r>
      <w:r w:rsidRPr="00D91D9E">
        <w:rPr>
          <w:rStyle w:val="aff7"/>
          <w:sz w:val="16"/>
          <w:szCs w:val="16"/>
          <w:lang w:val="en-US"/>
        </w:rPr>
        <w:t>ru</w:t>
      </w:r>
    </w:p>
    <w:p w:rsidR="00F21262" w:rsidRDefault="00F21262" w:rsidP="00F21262">
      <w:pPr>
        <w:pStyle w:val="aff5"/>
        <w:jc w:val="center"/>
        <w:rPr>
          <w:rStyle w:val="aff6"/>
          <w:sz w:val="24"/>
          <w:szCs w:val="24"/>
        </w:rPr>
      </w:pPr>
      <w:r w:rsidRPr="00333C82">
        <w:rPr>
          <w:rStyle w:val="aff6"/>
          <w:sz w:val="40"/>
          <w:szCs w:val="40"/>
        </w:rPr>
        <w:t>_____________________________________________</w:t>
      </w:r>
    </w:p>
    <w:p w:rsidR="00A90C84" w:rsidRDefault="00A90C84" w:rsidP="000666EA">
      <w:pPr>
        <w:pStyle w:val="a3"/>
        <w:widowControl w:val="0"/>
        <w:ind w:firstLine="0"/>
      </w:pPr>
    </w:p>
    <w:p w:rsidR="00A90C84" w:rsidRDefault="00A90C84" w:rsidP="000666EA">
      <w:pPr>
        <w:pStyle w:val="a3"/>
        <w:widowControl w:val="0"/>
        <w:ind w:firstLine="0"/>
      </w:pPr>
    </w:p>
    <w:p w:rsidR="003C0C51" w:rsidRPr="002A27D8" w:rsidRDefault="002A27D8" w:rsidP="003C0C51">
      <w:pPr>
        <w:rPr>
          <w:u w:val="single"/>
        </w:rPr>
      </w:pPr>
      <w:r>
        <w:t xml:space="preserve">        </w:t>
      </w:r>
      <w:r w:rsidR="003C0C51" w:rsidRPr="00290E84">
        <w:rPr>
          <w:u w:val="single"/>
        </w:rPr>
        <w:t>«</w:t>
      </w:r>
      <w:r w:rsidR="003C0C51">
        <w:rPr>
          <w:u w:val="single"/>
        </w:rPr>
        <w:t xml:space="preserve"> </w:t>
      </w:r>
      <w:r w:rsidR="009E1ADF">
        <w:rPr>
          <w:u w:val="single"/>
        </w:rPr>
        <w:t>23</w:t>
      </w:r>
      <w:r w:rsidR="005906DC">
        <w:rPr>
          <w:u w:val="single"/>
        </w:rPr>
        <w:t xml:space="preserve"> </w:t>
      </w:r>
      <w:r w:rsidR="003C0C51" w:rsidRPr="00290E84">
        <w:rPr>
          <w:u w:val="single"/>
        </w:rPr>
        <w:t xml:space="preserve">» </w:t>
      </w:r>
      <w:r w:rsidR="00BB709B">
        <w:rPr>
          <w:u w:val="single"/>
        </w:rPr>
        <w:t xml:space="preserve">сентября </w:t>
      </w:r>
      <w:r w:rsidR="002B217C">
        <w:rPr>
          <w:u w:val="single"/>
        </w:rPr>
        <w:t>20</w:t>
      </w:r>
      <w:r w:rsidR="00147276">
        <w:rPr>
          <w:u w:val="single"/>
        </w:rPr>
        <w:t>2</w:t>
      </w:r>
      <w:r w:rsidR="006057FE">
        <w:rPr>
          <w:u w:val="single"/>
        </w:rPr>
        <w:t>4</w:t>
      </w:r>
      <w:r w:rsidR="003C0C51">
        <w:rPr>
          <w:u w:val="single"/>
        </w:rPr>
        <w:t xml:space="preserve"> </w:t>
      </w:r>
      <w:r w:rsidR="003C0C51" w:rsidRPr="00290E84">
        <w:rPr>
          <w:u w:val="single"/>
        </w:rPr>
        <w:t xml:space="preserve">г. </w:t>
      </w:r>
      <w:r w:rsidR="003C0C51" w:rsidRPr="0045167F">
        <w:t xml:space="preserve">                                                        </w:t>
      </w:r>
      <w:r w:rsidR="002B217C">
        <w:t xml:space="preserve">         </w:t>
      </w:r>
      <w:r w:rsidR="0015624A">
        <w:t xml:space="preserve">     </w:t>
      </w:r>
      <w:r w:rsidR="00E01E15">
        <w:t xml:space="preserve">    </w:t>
      </w:r>
      <w:r w:rsidR="0015624A">
        <w:t xml:space="preserve">  </w:t>
      </w:r>
      <w:r>
        <w:t xml:space="preserve">     </w:t>
      </w:r>
      <w:r w:rsidR="0015624A">
        <w:t xml:space="preserve">  </w:t>
      </w:r>
      <w:r w:rsidR="003C0C51">
        <w:t xml:space="preserve"> </w:t>
      </w:r>
      <w:r w:rsidR="003C0C51" w:rsidRPr="0045167F">
        <w:t xml:space="preserve"> </w:t>
      </w:r>
      <w:r w:rsidR="003C0C51" w:rsidRPr="002A27D8">
        <w:rPr>
          <w:u w:val="single"/>
        </w:rPr>
        <w:t>№</w:t>
      </w:r>
      <w:r w:rsidR="005906DC">
        <w:rPr>
          <w:u w:val="single"/>
        </w:rPr>
        <w:t>2</w:t>
      </w:r>
      <w:r w:rsidR="003C0C51" w:rsidRPr="002A27D8">
        <w:rPr>
          <w:u w:val="single"/>
        </w:rPr>
        <w:t xml:space="preserve">  </w:t>
      </w:r>
    </w:p>
    <w:p w:rsidR="003C0C51" w:rsidRDefault="003C0C51" w:rsidP="003C0C51"/>
    <w:p w:rsidR="00A90C84" w:rsidRDefault="00A90C84" w:rsidP="000666EA">
      <w:pPr>
        <w:pStyle w:val="a3"/>
        <w:widowControl w:val="0"/>
        <w:ind w:firstLine="0"/>
      </w:pPr>
    </w:p>
    <w:p w:rsidR="000666EA" w:rsidRDefault="00F4402F" w:rsidP="000666EA">
      <w:pPr>
        <w:pStyle w:val="a3"/>
        <w:widowControl w:val="0"/>
        <w:ind w:firstLine="0"/>
      </w:pPr>
      <w:r w:rsidRPr="00B03FAF">
        <w:t>АНАЛИТИЧЕСКАЯ ЗАПИСКА</w:t>
      </w:r>
    </w:p>
    <w:p w:rsidR="00A90C84" w:rsidRDefault="00A90C84" w:rsidP="000666EA">
      <w:pPr>
        <w:pStyle w:val="a3"/>
        <w:widowControl w:val="0"/>
        <w:ind w:firstLine="0"/>
      </w:pPr>
      <w:r>
        <w:t xml:space="preserve">по отчету </w:t>
      </w:r>
      <w:r w:rsidR="00F4402F" w:rsidRPr="00B03FAF">
        <w:t xml:space="preserve">об исполнении бюджета муниципального образования </w:t>
      </w:r>
    </w:p>
    <w:p w:rsidR="00F4402F" w:rsidRDefault="00A90C84" w:rsidP="000666EA">
      <w:pPr>
        <w:pStyle w:val="a3"/>
        <w:widowControl w:val="0"/>
        <w:ind w:firstLine="0"/>
      </w:pPr>
      <w:r>
        <w:t xml:space="preserve">Саракташский поссовет </w:t>
      </w:r>
      <w:r w:rsidR="00F4402F" w:rsidRPr="00B03FAF">
        <w:t xml:space="preserve">за 1 </w:t>
      </w:r>
      <w:r w:rsidR="005906DC">
        <w:t>полугодие</w:t>
      </w:r>
      <w:r w:rsidR="00760D2E">
        <w:t xml:space="preserve"> </w:t>
      </w:r>
      <w:r w:rsidR="000467F6">
        <w:t>202</w:t>
      </w:r>
      <w:r w:rsidR="006057FE">
        <w:t>4</w:t>
      </w:r>
      <w:r w:rsidR="00F2414B">
        <w:t xml:space="preserve"> года</w:t>
      </w:r>
    </w:p>
    <w:p w:rsidR="00385655" w:rsidRPr="00B03FAF" w:rsidRDefault="00385655" w:rsidP="000666EA">
      <w:pPr>
        <w:pStyle w:val="a3"/>
        <w:widowControl w:val="0"/>
        <w:ind w:firstLine="0"/>
      </w:pPr>
    </w:p>
    <w:p w:rsidR="00F4402F" w:rsidRPr="00C86548" w:rsidRDefault="00F4402F" w:rsidP="003C0C51">
      <w:pPr>
        <w:pStyle w:val="a5"/>
        <w:widowControl w:val="0"/>
        <w:ind w:left="-142"/>
        <w:rPr>
          <w:sz w:val="16"/>
          <w:szCs w:val="16"/>
        </w:rPr>
      </w:pPr>
    </w:p>
    <w:p w:rsidR="00F4402F" w:rsidRPr="00E01E15" w:rsidRDefault="00F4402F" w:rsidP="005658E1">
      <w:pPr>
        <w:pStyle w:val="a5"/>
        <w:widowControl w:val="0"/>
        <w:numPr>
          <w:ilvl w:val="0"/>
          <w:numId w:val="12"/>
        </w:numPr>
        <w:rPr>
          <w:i/>
          <w:sz w:val="28"/>
          <w:szCs w:val="28"/>
        </w:rPr>
      </w:pPr>
      <w:r w:rsidRPr="00E01E15">
        <w:rPr>
          <w:i/>
          <w:sz w:val="28"/>
          <w:szCs w:val="28"/>
        </w:rPr>
        <w:t>Общие положения</w:t>
      </w:r>
    </w:p>
    <w:p w:rsidR="00F4402F" w:rsidRPr="00B03FAF" w:rsidRDefault="00F4402F" w:rsidP="00D63F26">
      <w:pPr>
        <w:pStyle w:val="a5"/>
        <w:widowControl w:val="0"/>
        <w:jc w:val="left"/>
        <w:rPr>
          <w:rFonts w:ascii="Tahoma" w:hAnsi="Tahoma" w:cs="Tahoma"/>
          <w:sz w:val="12"/>
          <w:szCs w:val="12"/>
        </w:rPr>
      </w:pPr>
    </w:p>
    <w:p w:rsidR="00AA79C9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В соответствии с решением Совета депутатов муниципального образования </w:t>
      </w:r>
      <w:r w:rsidR="00AA79C9">
        <w:rPr>
          <w:b w:val="0"/>
        </w:rPr>
        <w:t xml:space="preserve">Саракташский поссовет </w:t>
      </w:r>
      <w:r w:rsidRPr="00855C76">
        <w:rPr>
          <w:b w:val="0"/>
        </w:rPr>
        <w:t>от 2</w:t>
      </w:r>
      <w:r w:rsidR="00AA79C9">
        <w:rPr>
          <w:b w:val="0"/>
        </w:rPr>
        <w:t>8</w:t>
      </w:r>
      <w:r w:rsidRPr="00855C76">
        <w:rPr>
          <w:b w:val="0"/>
        </w:rPr>
        <w:t>.1</w:t>
      </w:r>
      <w:r w:rsidR="00AA79C9">
        <w:rPr>
          <w:b w:val="0"/>
        </w:rPr>
        <w:t>1</w:t>
      </w:r>
      <w:r w:rsidRPr="00855C76">
        <w:rPr>
          <w:b w:val="0"/>
        </w:rPr>
        <w:t>.201</w:t>
      </w:r>
      <w:r w:rsidR="00AA79C9">
        <w:rPr>
          <w:b w:val="0"/>
        </w:rPr>
        <w:t>6</w:t>
      </w:r>
      <w:r w:rsidRPr="00855C76">
        <w:rPr>
          <w:b w:val="0"/>
        </w:rPr>
        <w:t xml:space="preserve"> г. №</w:t>
      </w:r>
      <w:r w:rsidR="00AA79C9">
        <w:rPr>
          <w:b w:val="0"/>
        </w:rPr>
        <w:t>95 «Об утверждении П</w:t>
      </w:r>
      <w:r w:rsidRPr="00855C76">
        <w:rPr>
          <w:b w:val="0"/>
        </w:rPr>
        <w:t xml:space="preserve">оложения о бюджетном процессе в муниципальном образовании </w:t>
      </w:r>
      <w:r w:rsidR="00AA79C9">
        <w:rPr>
          <w:b w:val="0"/>
        </w:rPr>
        <w:t>Саракташский поссовет</w:t>
      </w:r>
      <w:r w:rsidRPr="00855C76">
        <w:rPr>
          <w:b w:val="0"/>
        </w:rPr>
        <w:t>»</w:t>
      </w:r>
      <w:r w:rsidR="00AA79C9">
        <w:rPr>
          <w:b w:val="0"/>
        </w:rPr>
        <w:t xml:space="preserve"> (далее - </w:t>
      </w:r>
      <w:r w:rsidR="00AA79C9" w:rsidRPr="00AA79C9">
        <w:rPr>
          <w:b w:val="0"/>
        </w:rPr>
        <w:t>Положение о бюджетном процессе)</w:t>
      </w:r>
      <w:r w:rsidRPr="00AA79C9">
        <w:rPr>
          <w:b w:val="0"/>
        </w:rPr>
        <w:t>,</w:t>
      </w:r>
      <w:r w:rsidRPr="00855C76">
        <w:rPr>
          <w:b w:val="0"/>
        </w:rPr>
        <w:t xml:space="preserve"> отчет об исполнении бюджета</w:t>
      </w:r>
      <w:r w:rsidR="00AA79C9">
        <w:rPr>
          <w:b w:val="0"/>
        </w:rPr>
        <w:t xml:space="preserve"> муниципального образования Саракташский поссовет </w:t>
      </w:r>
      <w:r w:rsidRPr="00855C76">
        <w:rPr>
          <w:b w:val="0"/>
        </w:rPr>
        <w:t xml:space="preserve">за первый квартал, полугодие и девять месяцев текущего финансового года утверждается постановлением администрации </w:t>
      </w:r>
      <w:r w:rsidR="00AA79C9">
        <w:rPr>
          <w:b w:val="0"/>
        </w:rPr>
        <w:t>Саракташского поссовета</w:t>
      </w:r>
      <w:r w:rsidRPr="00855C76">
        <w:rPr>
          <w:b w:val="0"/>
        </w:rPr>
        <w:t xml:space="preserve"> и направляется в Совет депута</w:t>
      </w:r>
      <w:r w:rsidR="00AA79C9">
        <w:rPr>
          <w:b w:val="0"/>
        </w:rPr>
        <w:t>тов и С</w:t>
      </w:r>
      <w:r w:rsidRPr="00855C76">
        <w:rPr>
          <w:b w:val="0"/>
        </w:rPr>
        <w:t xml:space="preserve">четную палату </w:t>
      </w:r>
      <w:r w:rsidR="00AA79C9">
        <w:rPr>
          <w:b w:val="0"/>
        </w:rPr>
        <w:t xml:space="preserve">Саракташского поссовета. </w:t>
      </w:r>
    </w:p>
    <w:p w:rsidR="00AA79C9" w:rsidRPr="00AA79C9" w:rsidRDefault="00855C76" w:rsidP="002B1E3E">
      <w:pPr>
        <w:tabs>
          <w:tab w:val="left" w:pos="567"/>
        </w:tabs>
        <w:spacing w:line="276" w:lineRule="auto"/>
        <w:ind w:firstLine="567"/>
        <w:jc w:val="both"/>
        <w:outlineLvl w:val="0"/>
        <w:rPr>
          <w:bCs/>
        </w:rPr>
      </w:pPr>
      <w:r w:rsidRPr="00AA79C9">
        <w:t xml:space="preserve">Отчет об исполнении </w:t>
      </w:r>
      <w:r w:rsidR="00AA79C9" w:rsidRPr="00AA79C9">
        <w:t>местного</w:t>
      </w:r>
      <w:r w:rsidRPr="00AA79C9">
        <w:t xml:space="preserve"> бюджета за 1 </w:t>
      </w:r>
      <w:r w:rsidR="005906DC">
        <w:t>полугодие</w:t>
      </w:r>
      <w:r w:rsidR="00AA79C9" w:rsidRPr="00AA79C9">
        <w:t xml:space="preserve"> </w:t>
      </w:r>
      <w:r w:rsidRPr="00AA79C9">
        <w:t>20</w:t>
      </w:r>
      <w:r w:rsidR="00AA79C9" w:rsidRPr="00AA79C9">
        <w:t>2</w:t>
      </w:r>
      <w:r w:rsidR="00902378">
        <w:t>4</w:t>
      </w:r>
      <w:r w:rsidRPr="00AA79C9">
        <w:t xml:space="preserve"> года (далее – отчет об исполнении бюджета) утвержден постановлением администрации </w:t>
      </w:r>
      <w:r w:rsidR="00AA79C9" w:rsidRPr="00AA79C9">
        <w:t xml:space="preserve">Саракташского поссовета </w:t>
      </w:r>
      <w:r w:rsidRPr="008F1467">
        <w:t xml:space="preserve">от </w:t>
      </w:r>
      <w:r w:rsidR="00AA79C9" w:rsidRPr="003E5D64">
        <w:t>1</w:t>
      </w:r>
      <w:r w:rsidR="003E5D64" w:rsidRPr="003E5D64">
        <w:t>0</w:t>
      </w:r>
      <w:r w:rsidR="00AA79C9" w:rsidRPr="003E5D64">
        <w:t>.0</w:t>
      </w:r>
      <w:r w:rsidR="008F1467" w:rsidRPr="003E5D64">
        <w:t>7</w:t>
      </w:r>
      <w:r w:rsidR="00AA79C9" w:rsidRPr="003E5D64">
        <w:t>.202</w:t>
      </w:r>
      <w:r w:rsidR="003E5D64" w:rsidRPr="003E5D64">
        <w:t>4</w:t>
      </w:r>
      <w:r w:rsidRPr="003E5D64">
        <w:t>г. №</w:t>
      </w:r>
      <w:r w:rsidR="003E5D64">
        <w:t>399</w:t>
      </w:r>
      <w:r w:rsidR="00AA5EEE" w:rsidRPr="002658EE">
        <w:t>-п</w:t>
      </w:r>
      <w:r w:rsidRPr="002658EE">
        <w:t xml:space="preserve"> и</w:t>
      </w:r>
      <w:r w:rsidRPr="00AE2F1B">
        <w:t xml:space="preserve"> представлен</w:t>
      </w:r>
      <w:r w:rsidRPr="00AA79C9">
        <w:t xml:space="preserve"> в </w:t>
      </w:r>
      <w:r w:rsidR="00AA79C9" w:rsidRPr="00AA79C9">
        <w:t>С</w:t>
      </w:r>
      <w:r w:rsidRPr="00AA79C9">
        <w:t xml:space="preserve">четную палату </w:t>
      </w:r>
      <w:r w:rsidR="00AA79C9">
        <w:t xml:space="preserve">Саракташского поссовета </w:t>
      </w:r>
      <w:r w:rsidRPr="00AA79C9">
        <w:t>(далее – С</w:t>
      </w:r>
      <w:r w:rsidR="00AA79C9">
        <w:t>четная палата</w:t>
      </w:r>
      <w:r w:rsidRPr="00AA79C9">
        <w:t>) в соответ</w:t>
      </w:r>
      <w:r w:rsidR="00AA79C9">
        <w:t xml:space="preserve">ствии </w:t>
      </w:r>
      <w:r w:rsidR="00AA79C9" w:rsidRPr="00AA79C9">
        <w:t xml:space="preserve">со ст. 48 Положения о бюджетном процессе в срок, </w:t>
      </w:r>
      <w:r w:rsidR="00AA79C9" w:rsidRPr="00AA79C9">
        <w:rPr>
          <w:bCs/>
        </w:rPr>
        <w:t>не позднее 15 числа месяца, следующего за отчетным кварталом</w:t>
      </w:r>
      <w:r w:rsidR="00C86548">
        <w:rPr>
          <w:bCs/>
        </w:rPr>
        <w:t>.</w:t>
      </w:r>
    </w:p>
    <w:p w:rsidR="00F7792E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Анализ отчета об исполнении бюджета проведен </w:t>
      </w:r>
      <w:r w:rsidR="00F7792E">
        <w:rPr>
          <w:b w:val="0"/>
        </w:rPr>
        <w:t>Счетной палатой</w:t>
      </w:r>
      <w:r w:rsidRPr="00855C76">
        <w:rPr>
          <w:b w:val="0"/>
        </w:rPr>
        <w:t xml:space="preserve"> в целях: </w:t>
      </w:r>
      <w:r w:rsidR="00F7792E">
        <w:rPr>
          <w:b w:val="0"/>
        </w:rPr>
        <w:t xml:space="preserve"> </w:t>
      </w:r>
    </w:p>
    <w:p w:rsidR="00F7792E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сопоставления исполненных показателей </w:t>
      </w:r>
      <w:r w:rsidR="00F7792E">
        <w:rPr>
          <w:b w:val="0"/>
        </w:rPr>
        <w:t>местного</w:t>
      </w:r>
      <w:r w:rsidRPr="00855C76">
        <w:rPr>
          <w:b w:val="0"/>
        </w:rPr>
        <w:t xml:space="preserve"> бюджета за 1 </w:t>
      </w:r>
      <w:r w:rsidR="005906DC">
        <w:rPr>
          <w:b w:val="0"/>
        </w:rPr>
        <w:t xml:space="preserve">полугодие </w:t>
      </w:r>
      <w:r w:rsidR="00F830D5">
        <w:rPr>
          <w:b w:val="0"/>
        </w:rPr>
        <w:t>202</w:t>
      </w:r>
      <w:r w:rsidR="00902378">
        <w:rPr>
          <w:b w:val="0"/>
        </w:rPr>
        <w:t>4</w:t>
      </w:r>
      <w:r w:rsidRPr="00855C76">
        <w:rPr>
          <w:b w:val="0"/>
        </w:rPr>
        <w:t xml:space="preserve"> года с годовыми назначениями, а также с показателями за аналогичный период предыдущего года; </w:t>
      </w:r>
    </w:p>
    <w:p w:rsidR="00F7792E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выявления возможных несоответствий (нарушений) и подготовки предложений, направленных на их устранение. </w:t>
      </w:r>
    </w:p>
    <w:p w:rsidR="00902378" w:rsidRPr="00731DD3" w:rsidRDefault="00F7792E" w:rsidP="00902378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731DD3">
        <w:rPr>
          <w:b w:val="0"/>
        </w:rPr>
        <w:t xml:space="preserve">Анализ </w:t>
      </w:r>
      <w:r w:rsidRPr="00731DD3">
        <w:rPr>
          <w:b w:val="0"/>
          <w:spacing w:val="8"/>
        </w:rPr>
        <w:t xml:space="preserve">отчета об исполнении бюджета за 1 </w:t>
      </w:r>
      <w:r w:rsidR="005906DC">
        <w:rPr>
          <w:b w:val="0"/>
          <w:spacing w:val="8"/>
        </w:rPr>
        <w:t>полугодие</w:t>
      </w:r>
      <w:r w:rsidRPr="00731DD3">
        <w:rPr>
          <w:b w:val="0"/>
          <w:spacing w:val="8"/>
        </w:rPr>
        <w:t xml:space="preserve"> 20</w:t>
      </w:r>
      <w:r w:rsidR="00902378">
        <w:rPr>
          <w:b w:val="0"/>
          <w:spacing w:val="8"/>
        </w:rPr>
        <w:t>24</w:t>
      </w:r>
      <w:r w:rsidRPr="00731DD3">
        <w:rPr>
          <w:b w:val="0"/>
          <w:spacing w:val="8"/>
        </w:rPr>
        <w:t xml:space="preserve"> года проведен </w:t>
      </w:r>
      <w:r w:rsidRPr="00731DD3">
        <w:rPr>
          <w:b w:val="0"/>
        </w:rPr>
        <w:t>Счетн</w:t>
      </w:r>
      <w:r>
        <w:rPr>
          <w:b w:val="0"/>
        </w:rPr>
        <w:t xml:space="preserve">ой </w:t>
      </w:r>
      <w:r w:rsidRPr="00731DD3">
        <w:rPr>
          <w:b w:val="0"/>
        </w:rPr>
        <w:t>палат</w:t>
      </w:r>
      <w:r>
        <w:rPr>
          <w:b w:val="0"/>
        </w:rPr>
        <w:t xml:space="preserve">ой </w:t>
      </w:r>
      <w:r w:rsidRPr="00731DD3">
        <w:rPr>
          <w:b w:val="0"/>
          <w:spacing w:val="8"/>
        </w:rPr>
        <w:t>в соответст</w:t>
      </w:r>
      <w:r>
        <w:rPr>
          <w:b w:val="0"/>
          <w:spacing w:val="8"/>
        </w:rPr>
        <w:t>вии с п.</w:t>
      </w:r>
      <w:r w:rsidRPr="00731DD3">
        <w:rPr>
          <w:b w:val="0"/>
          <w:spacing w:val="8"/>
        </w:rPr>
        <w:t>5 ст. 264.2 Бюджетного кодекса Российской Федерации (далее — БК РФ), ст. 9 Федерального закона от 07.02.2011 № 6-ФЗ «Об общих принципах организации и деятельности кон</w:t>
      </w:r>
      <w:r w:rsidRPr="00731DD3">
        <w:rPr>
          <w:b w:val="0"/>
          <w:spacing w:val="8"/>
        </w:rPr>
        <w:lastRenderedPageBreak/>
        <w:t xml:space="preserve">трольно-счетных органов субъектов Российской Федерации и муниципальных образований» (далее – Федеральный закон № 6-ФЗ), ст. 8 </w:t>
      </w:r>
      <w:r w:rsidRPr="00731DD3">
        <w:rPr>
          <w:b w:val="0"/>
        </w:rPr>
        <w:t>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от 2</w:t>
      </w:r>
      <w:r>
        <w:rPr>
          <w:b w:val="0"/>
        </w:rPr>
        <w:t>9</w:t>
      </w:r>
      <w:r w:rsidRPr="00731DD3">
        <w:rPr>
          <w:b w:val="0"/>
        </w:rPr>
        <w:t>.1</w:t>
      </w:r>
      <w:r>
        <w:rPr>
          <w:b w:val="0"/>
        </w:rPr>
        <w:t>0.2021</w:t>
      </w:r>
      <w:r w:rsidRPr="00731DD3">
        <w:rPr>
          <w:b w:val="0"/>
        </w:rPr>
        <w:t xml:space="preserve"> года</w:t>
      </w:r>
      <w:r>
        <w:rPr>
          <w:b w:val="0"/>
        </w:rPr>
        <w:t xml:space="preserve"> </w:t>
      </w:r>
      <w:r w:rsidRPr="00731DD3">
        <w:rPr>
          <w:b w:val="0"/>
        </w:rPr>
        <w:t>№</w:t>
      </w:r>
      <w:r>
        <w:rPr>
          <w:b w:val="0"/>
        </w:rPr>
        <w:t>62</w:t>
      </w:r>
      <w:r w:rsidRPr="00731DD3">
        <w:rPr>
          <w:b w:val="0"/>
        </w:rPr>
        <w:t xml:space="preserve">, </w:t>
      </w:r>
      <w:r w:rsidR="00F830D5" w:rsidRPr="00731DD3">
        <w:rPr>
          <w:b w:val="0"/>
          <w:spacing w:val="8"/>
        </w:rPr>
        <w:t xml:space="preserve">п. </w:t>
      </w:r>
      <w:r w:rsidR="00902378" w:rsidRPr="00731DD3">
        <w:rPr>
          <w:b w:val="0"/>
          <w:spacing w:val="8"/>
        </w:rPr>
        <w:t>2.</w:t>
      </w:r>
      <w:r w:rsidR="00902378">
        <w:rPr>
          <w:b w:val="0"/>
          <w:spacing w:val="8"/>
        </w:rPr>
        <w:t>6 П</w:t>
      </w:r>
      <w:r w:rsidR="00902378" w:rsidRPr="00731DD3">
        <w:rPr>
          <w:b w:val="0"/>
          <w:spacing w:val="8"/>
        </w:rPr>
        <w:t xml:space="preserve">лана работы </w:t>
      </w:r>
      <w:r w:rsidR="00902378" w:rsidRPr="00731DD3">
        <w:rPr>
          <w:b w:val="0"/>
        </w:rPr>
        <w:t>Счетной палаты на 20</w:t>
      </w:r>
      <w:r w:rsidR="00902378">
        <w:rPr>
          <w:b w:val="0"/>
        </w:rPr>
        <w:t>24</w:t>
      </w:r>
      <w:r w:rsidR="00902378" w:rsidRPr="00731DD3">
        <w:rPr>
          <w:b w:val="0"/>
        </w:rPr>
        <w:t xml:space="preserve"> год, утвержденного распоряжением председателя контрольно-счетного органа «Счетная палата» муниципального образования Саракташский поссовет от 2</w:t>
      </w:r>
      <w:r w:rsidR="00902378">
        <w:rPr>
          <w:b w:val="0"/>
        </w:rPr>
        <w:t>2.12.2023</w:t>
      </w:r>
      <w:r w:rsidR="00902378" w:rsidRPr="00731DD3">
        <w:rPr>
          <w:b w:val="0"/>
        </w:rPr>
        <w:t>г. №</w:t>
      </w:r>
      <w:r w:rsidR="00902378">
        <w:rPr>
          <w:b w:val="0"/>
        </w:rPr>
        <w:t>6</w:t>
      </w:r>
      <w:r w:rsidR="00902378" w:rsidRPr="00731DD3">
        <w:rPr>
          <w:b w:val="0"/>
        </w:rPr>
        <w:t>-р</w:t>
      </w:r>
      <w:r w:rsidR="00902378">
        <w:rPr>
          <w:b w:val="0"/>
        </w:rPr>
        <w:t>.</w:t>
      </w:r>
      <w:r w:rsidR="00902378" w:rsidRPr="00731DD3">
        <w:rPr>
          <w:b w:val="0"/>
          <w:sz w:val="26"/>
          <w:szCs w:val="26"/>
        </w:rPr>
        <w:t xml:space="preserve">                        </w:t>
      </w:r>
    </w:p>
    <w:p w:rsidR="00F7792E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При подготовке </w:t>
      </w:r>
      <w:r w:rsidR="00F7792E">
        <w:rPr>
          <w:b w:val="0"/>
        </w:rPr>
        <w:t xml:space="preserve">анализа </w:t>
      </w:r>
      <w:r w:rsidRPr="00855C76">
        <w:rPr>
          <w:b w:val="0"/>
        </w:rPr>
        <w:t>использовалась информация и бюджетная отчетность, представленная адми</w:t>
      </w:r>
      <w:r w:rsidR="00F7792E">
        <w:rPr>
          <w:b w:val="0"/>
        </w:rPr>
        <w:t>нистрацией</w:t>
      </w:r>
      <w:r w:rsidRPr="00855C76">
        <w:rPr>
          <w:b w:val="0"/>
        </w:rPr>
        <w:t xml:space="preserve"> </w:t>
      </w:r>
      <w:r w:rsidR="00F7792E">
        <w:rPr>
          <w:b w:val="0"/>
        </w:rPr>
        <w:t xml:space="preserve">Саракташского поссовета </w:t>
      </w:r>
      <w:r w:rsidRPr="00855C76">
        <w:rPr>
          <w:b w:val="0"/>
        </w:rPr>
        <w:t xml:space="preserve">в </w:t>
      </w:r>
      <w:r w:rsidR="00F7792E">
        <w:rPr>
          <w:b w:val="0"/>
        </w:rPr>
        <w:t xml:space="preserve">Счетную палату </w:t>
      </w:r>
      <w:r w:rsidRPr="00855C76">
        <w:rPr>
          <w:b w:val="0"/>
        </w:rPr>
        <w:t xml:space="preserve">в следующем составе: </w:t>
      </w:r>
    </w:p>
    <w:p w:rsidR="00F7792E" w:rsidRDefault="00855C76" w:rsidP="00F830D5">
      <w:pPr>
        <w:pStyle w:val="a3"/>
        <w:widowControl w:val="0"/>
        <w:numPr>
          <w:ilvl w:val="0"/>
          <w:numId w:val="15"/>
        </w:numPr>
        <w:tabs>
          <w:tab w:val="left" w:pos="0"/>
          <w:tab w:val="left" w:pos="567"/>
          <w:tab w:val="left" w:pos="851"/>
        </w:tabs>
        <w:overflowPunct/>
        <w:spacing w:line="276" w:lineRule="auto"/>
        <w:ind w:left="851" w:right="180" w:hanging="284"/>
        <w:jc w:val="both"/>
        <w:textAlignment w:val="auto"/>
        <w:rPr>
          <w:b w:val="0"/>
        </w:rPr>
      </w:pPr>
      <w:r w:rsidRPr="00855C76">
        <w:rPr>
          <w:b w:val="0"/>
        </w:rPr>
        <w:t xml:space="preserve">отчет об исполнении бюджета (форма 0503117); </w:t>
      </w:r>
    </w:p>
    <w:p w:rsidR="00F7792E" w:rsidRDefault="00855C76" w:rsidP="00F830D5">
      <w:pPr>
        <w:pStyle w:val="a3"/>
        <w:widowControl w:val="0"/>
        <w:numPr>
          <w:ilvl w:val="0"/>
          <w:numId w:val="15"/>
        </w:numPr>
        <w:tabs>
          <w:tab w:val="left" w:pos="0"/>
          <w:tab w:val="left" w:pos="567"/>
          <w:tab w:val="left" w:pos="851"/>
        </w:tabs>
        <w:overflowPunct/>
        <w:spacing w:line="276" w:lineRule="auto"/>
        <w:ind w:right="180"/>
        <w:jc w:val="both"/>
        <w:textAlignment w:val="auto"/>
        <w:rPr>
          <w:b w:val="0"/>
        </w:rPr>
      </w:pPr>
      <w:r w:rsidRPr="00855C76">
        <w:rPr>
          <w:b w:val="0"/>
        </w:rPr>
        <w:t xml:space="preserve">сведения по исполнению бюджета (форма 0503164); </w:t>
      </w:r>
    </w:p>
    <w:p w:rsidR="00F7792E" w:rsidRDefault="00F7792E" w:rsidP="00F830D5">
      <w:pPr>
        <w:pStyle w:val="a3"/>
        <w:widowControl w:val="0"/>
        <w:numPr>
          <w:ilvl w:val="0"/>
          <w:numId w:val="15"/>
        </w:numPr>
        <w:tabs>
          <w:tab w:val="left" w:pos="0"/>
          <w:tab w:val="left" w:pos="567"/>
          <w:tab w:val="left" w:pos="851"/>
        </w:tabs>
        <w:overflowPunct/>
        <w:spacing w:line="276" w:lineRule="auto"/>
        <w:ind w:left="0" w:right="180" w:firstLine="567"/>
        <w:jc w:val="both"/>
        <w:textAlignment w:val="auto"/>
        <w:rPr>
          <w:b w:val="0"/>
        </w:rPr>
      </w:pPr>
      <w:r>
        <w:rPr>
          <w:b w:val="0"/>
        </w:rPr>
        <w:t>сведения об остатках денежных средств на счетах получателя бюджетных средств (форма 0503178);</w:t>
      </w:r>
    </w:p>
    <w:p w:rsidR="008F1467" w:rsidRDefault="008F1467" w:rsidP="00F830D5">
      <w:pPr>
        <w:pStyle w:val="a3"/>
        <w:widowControl w:val="0"/>
        <w:numPr>
          <w:ilvl w:val="0"/>
          <w:numId w:val="15"/>
        </w:numPr>
        <w:tabs>
          <w:tab w:val="left" w:pos="0"/>
          <w:tab w:val="left" w:pos="567"/>
          <w:tab w:val="left" w:pos="851"/>
        </w:tabs>
        <w:overflowPunct/>
        <w:spacing w:line="276" w:lineRule="auto"/>
        <w:ind w:left="0" w:right="180" w:firstLine="567"/>
        <w:jc w:val="both"/>
        <w:textAlignment w:val="auto"/>
        <w:rPr>
          <w:b w:val="0"/>
        </w:rPr>
      </w:pPr>
      <w:r>
        <w:rPr>
          <w:b w:val="0"/>
        </w:rPr>
        <w:t>сведения по дебиторской и кредиторской задолженности (форма 0503169);</w:t>
      </w:r>
    </w:p>
    <w:p w:rsidR="00F7792E" w:rsidRDefault="00F7792E" w:rsidP="00F830D5">
      <w:pPr>
        <w:pStyle w:val="a3"/>
        <w:widowControl w:val="0"/>
        <w:numPr>
          <w:ilvl w:val="0"/>
          <w:numId w:val="15"/>
        </w:numPr>
        <w:tabs>
          <w:tab w:val="left" w:pos="0"/>
          <w:tab w:val="left" w:pos="567"/>
          <w:tab w:val="left" w:pos="851"/>
        </w:tabs>
        <w:overflowPunct/>
        <w:spacing w:line="276" w:lineRule="auto"/>
        <w:ind w:right="180"/>
        <w:jc w:val="both"/>
        <w:textAlignment w:val="auto"/>
        <w:rPr>
          <w:b w:val="0"/>
        </w:rPr>
      </w:pPr>
      <w:r>
        <w:rPr>
          <w:b w:val="0"/>
        </w:rPr>
        <w:t>пояснительная записка (форма 0503160).</w:t>
      </w:r>
    </w:p>
    <w:p w:rsidR="00977CC4" w:rsidRDefault="00D43089" w:rsidP="005C66AF">
      <w:pPr>
        <w:tabs>
          <w:tab w:val="left" w:pos="567"/>
        </w:tabs>
        <w:ind w:firstLine="567"/>
        <w:jc w:val="both"/>
        <w:outlineLvl w:val="0"/>
        <w:rPr>
          <w:b/>
          <w:bCs/>
        </w:rPr>
      </w:pPr>
      <w:r>
        <w:t xml:space="preserve"> </w:t>
      </w:r>
      <w:r w:rsidR="00F4402F" w:rsidRPr="00B03FAF">
        <w:t xml:space="preserve"> </w:t>
      </w:r>
    </w:p>
    <w:p w:rsidR="007F33F4" w:rsidRPr="007C65C5" w:rsidRDefault="00731DD3" w:rsidP="007F33F4">
      <w:pPr>
        <w:widowControl w:val="0"/>
        <w:ind w:firstLine="540"/>
        <w:jc w:val="center"/>
        <w:rPr>
          <w:b/>
          <w:bCs/>
          <w:i/>
        </w:rPr>
      </w:pPr>
      <w:r w:rsidRPr="007C65C5">
        <w:rPr>
          <w:b/>
          <w:i/>
        </w:rPr>
        <w:t xml:space="preserve"> </w:t>
      </w:r>
      <w:r w:rsidR="007F33F4" w:rsidRPr="007C65C5">
        <w:rPr>
          <w:b/>
          <w:bCs/>
          <w:i/>
        </w:rPr>
        <w:t>2. Основные параметры исполнения местного бюджета</w:t>
      </w:r>
    </w:p>
    <w:p w:rsidR="007F33F4" w:rsidRPr="007C65C5" w:rsidRDefault="007F33F4" w:rsidP="007F33F4">
      <w:pPr>
        <w:widowControl w:val="0"/>
        <w:jc w:val="center"/>
        <w:rPr>
          <w:b/>
          <w:bCs/>
          <w:i/>
        </w:rPr>
      </w:pPr>
      <w:r w:rsidRPr="007C65C5">
        <w:rPr>
          <w:b/>
          <w:bCs/>
          <w:i/>
        </w:rPr>
        <w:t xml:space="preserve">за 1 </w:t>
      </w:r>
      <w:r w:rsidR="005906DC">
        <w:rPr>
          <w:b/>
          <w:bCs/>
          <w:i/>
        </w:rPr>
        <w:t>полугодие</w:t>
      </w:r>
      <w:r w:rsidRPr="007C65C5">
        <w:rPr>
          <w:b/>
          <w:bCs/>
          <w:i/>
        </w:rPr>
        <w:t xml:space="preserve"> 20</w:t>
      </w:r>
      <w:r w:rsidR="000467F6" w:rsidRPr="007C65C5">
        <w:rPr>
          <w:b/>
          <w:bCs/>
          <w:i/>
        </w:rPr>
        <w:t>2</w:t>
      </w:r>
      <w:r w:rsidR="00F13732">
        <w:rPr>
          <w:b/>
          <w:bCs/>
          <w:i/>
        </w:rPr>
        <w:t>4</w:t>
      </w:r>
      <w:r w:rsidR="00E01E15" w:rsidRPr="007C65C5">
        <w:rPr>
          <w:b/>
          <w:bCs/>
          <w:i/>
        </w:rPr>
        <w:t xml:space="preserve"> года</w:t>
      </w:r>
    </w:p>
    <w:p w:rsidR="00731DD3" w:rsidRPr="007C65C5" w:rsidRDefault="00731DD3" w:rsidP="004400E1">
      <w:pPr>
        <w:ind w:left="1260" w:hanging="1260"/>
        <w:jc w:val="center"/>
        <w:rPr>
          <w:b/>
        </w:rPr>
      </w:pPr>
    </w:p>
    <w:p w:rsidR="00F13732" w:rsidRDefault="00F13732" w:rsidP="00F13732">
      <w:pPr>
        <w:spacing w:line="276" w:lineRule="auto"/>
        <w:ind w:firstLine="567"/>
        <w:jc w:val="both"/>
        <w:outlineLvl w:val="1"/>
        <w:rPr>
          <w:szCs w:val="20"/>
        </w:rPr>
      </w:pPr>
      <w:r w:rsidRPr="007C65C5">
        <w:rPr>
          <w:szCs w:val="20"/>
        </w:rPr>
        <w:t>Решением Совета депутатов «О бюджете муниципального образования Саракташский поссовет на 202</w:t>
      </w:r>
      <w:r>
        <w:rPr>
          <w:szCs w:val="20"/>
        </w:rPr>
        <w:t>4</w:t>
      </w:r>
      <w:r w:rsidRPr="007C65C5">
        <w:rPr>
          <w:szCs w:val="20"/>
        </w:rPr>
        <w:t xml:space="preserve"> год и плановый период 202</w:t>
      </w:r>
      <w:r>
        <w:rPr>
          <w:szCs w:val="20"/>
        </w:rPr>
        <w:t>5</w:t>
      </w:r>
      <w:r w:rsidRPr="007C65C5">
        <w:rPr>
          <w:szCs w:val="20"/>
        </w:rPr>
        <w:t xml:space="preserve"> и 202</w:t>
      </w:r>
      <w:r>
        <w:rPr>
          <w:szCs w:val="20"/>
        </w:rPr>
        <w:t>6</w:t>
      </w:r>
      <w:r w:rsidRPr="007C65C5">
        <w:rPr>
          <w:szCs w:val="20"/>
        </w:rPr>
        <w:t xml:space="preserve"> годов» от </w:t>
      </w:r>
      <w:r>
        <w:rPr>
          <w:szCs w:val="20"/>
        </w:rPr>
        <w:t>15</w:t>
      </w:r>
      <w:r w:rsidRPr="007C65C5">
        <w:rPr>
          <w:szCs w:val="20"/>
        </w:rPr>
        <w:t>.12.20</w:t>
      </w:r>
      <w:r>
        <w:rPr>
          <w:szCs w:val="20"/>
        </w:rPr>
        <w:t>23</w:t>
      </w:r>
      <w:r w:rsidRPr="007C65C5">
        <w:rPr>
          <w:szCs w:val="20"/>
        </w:rPr>
        <w:t>г. №</w:t>
      </w:r>
      <w:r>
        <w:rPr>
          <w:szCs w:val="20"/>
        </w:rPr>
        <w:t xml:space="preserve">179 </w:t>
      </w:r>
      <w:r w:rsidRPr="007C65C5">
        <w:rPr>
          <w:szCs w:val="20"/>
        </w:rPr>
        <w:t>доходы на 202</w:t>
      </w:r>
      <w:r>
        <w:rPr>
          <w:szCs w:val="20"/>
        </w:rPr>
        <w:t>4</w:t>
      </w:r>
      <w:r w:rsidRPr="007C65C5">
        <w:rPr>
          <w:szCs w:val="20"/>
        </w:rPr>
        <w:t xml:space="preserve"> год утверждены в сумме </w:t>
      </w:r>
      <w:r>
        <w:rPr>
          <w:szCs w:val="20"/>
        </w:rPr>
        <w:t xml:space="preserve">147 658 295,00 </w:t>
      </w:r>
      <w:r w:rsidRPr="007C65C5">
        <w:rPr>
          <w:szCs w:val="20"/>
        </w:rPr>
        <w:t xml:space="preserve">рублей, расходы – </w:t>
      </w:r>
      <w:r>
        <w:rPr>
          <w:szCs w:val="20"/>
        </w:rPr>
        <w:t xml:space="preserve">147 658 295,00 </w:t>
      </w:r>
      <w:r w:rsidRPr="007C65C5">
        <w:rPr>
          <w:szCs w:val="20"/>
        </w:rPr>
        <w:t xml:space="preserve">рублей, размер дефицита – </w:t>
      </w:r>
      <w:r>
        <w:rPr>
          <w:szCs w:val="20"/>
        </w:rPr>
        <w:t>0</w:t>
      </w:r>
      <w:r w:rsidRPr="007C65C5">
        <w:t xml:space="preserve"> рублей</w:t>
      </w:r>
      <w:r w:rsidRPr="007C65C5">
        <w:rPr>
          <w:szCs w:val="20"/>
        </w:rPr>
        <w:t xml:space="preserve">. </w:t>
      </w:r>
    </w:p>
    <w:p w:rsidR="00F13732" w:rsidRPr="00D36655" w:rsidRDefault="00F13732" w:rsidP="00F13732">
      <w:pPr>
        <w:tabs>
          <w:tab w:val="left" w:pos="567"/>
        </w:tabs>
        <w:overflowPunct/>
        <w:spacing w:line="276" w:lineRule="auto"/>
        <w:jc w:val="both"/>
        <w:textAlignment w:val="auto"/>
        <w:rPr>
          <w:bCs/>
        </w:rPr>
      </w:pPr>
      <w:r>
        <w:rPr>
          <w:szCs w:val="20"/>
        </w:rPr>
        <w:t xml:space="preserve">        </w:t>
      </w:r>
      <w:r w:rsidRPr="007C65C5">
        <w:rPr>
          <w:szCs w:val="20"/>
        </w:rPr>
        <w:t xml:space="preserve">Решением Совета депутатов </w:t>
      </w:r>
      <w:r w:rsidRPr="005E32E8">
        <w:t>муници</w:t>
      </w:r>
      <w:r>
        <w:t>пального образования Саракташский поссовет</w:t>
      </w:r>
      <w:r w:rsidRPr="007C65C5">
        <w:rPr>
          <w:szCs w:val="20"/>
        </w:rPr>
        <w:t xml:space="preserve"> от </w:t>
      </w:r>
      <w:r>
        <w:rPr>
          <w:szCs w:val="20"/>
        </w:rPr>
        <w:t>31.05</w:t>
      </w:r>
      <w:r w:rsidRPr="007C65C5">
        <w:rPr>
          <w:szCs w:val="20"/>
        </w:rPr>
        <w:t>.20</w:t>
      </w:r>
      <w:r>
        <w:rPr>
          <w:szCs w:val="20"/>
        </w:rPr>
        <w:t>24</w:t>
      </w:r>
      <w:r w:rsidRPr="007C65C5">
        <w:rPr>
          <w:szCs w:val="20"/>
        </w:rPr>
        <w:t>г. №</w:t>
      </w:r>
      <w:r>
        <w:rPr>
          <w:szCs w:val="20"/>
        </w:rPr>
        <w:t>206</w:t>
      </w:r>
      <w:r w:rsidRPr="007C65C5">
        <w:rPr>
          <w:szCs w:val="20"/>
        </w:rPr>
        <w:t xml:space="preserve"> «</w:t>
      </w:r>
      <w:r>
        <w:rPr>
          <w:szCs w:val="20"/>
        </w:rPr>
        <w:t xml:space="preserve">О внесении изменений в решение Совета депутатов </w:t>
      </w:r>
      <w:r w:rsidRPr="005E32E8">
        <w:t>муници</w:t>
      </w:r>
      <w:r>
        <w:t>пального образования Саракташский поссовет от 15 декабря 2023 года №179 «</w:t>
      </w:r>
      <w:r w:rsidRPr="007C65C5">
        <w:rPr>
          <w:szCs w:val="20"/>
        </w:rPr>
        <w:t>О бюджете муниципального образования Саракташский поссовет на 202</w:t>
      </w:r>
      <w:r>
        <w:rPr>
          <w:szCs w:val="20"/>
        </w:rPr>
        <w:t>4</w:t>
      </w:r>
      <w:r w:rsidRPr="007C65C5">
        <w:rPr>
          <w:szCs w:val="20"/>
        </w:rPr>
        <w:t xml:space="preserve"> год и плановый период 202</w:t>
      </w:r>
      <w:r>
        <w:rPr>
          <w:szCs w:val="20"/>
        </w:rPr>
        <w:t>5</w:t>
      </w:r>
      <w:r w:rsidRPr="007C65C5">
        <w:rPr>
          <w:szCs w:val="20"/>
        </w:rPr>
        <w:t xml:space="preserve"> и 202</w:t>
      </w:r>
      <w:r>
        <w:rPr>
          <w:szCs w:val="20"/>
        </w:rPr>
        <w:t>6</w:t>
      </w:r>
      <w:r w:rsidRPr="007C65C5">
        <w:rPr>
          <w:szCs w:val="20"/>
        </w:rPr>
        <w:t xml:space="preserve"> годов» утверждены </w:t>
      </w:r>
      <w:r w:rsidRPr="008368F2">
        <w:rPr>
          <w:bCs/>
        </w:rPr>
        <w:t xml:space="preserve">основные характеристики </w:t>
      </w:r>
      <w:r>
        <w:rPr>
          <w:bCs/>
        </w:rPr>
        <w:t>местного</w:t>
      </w:r>
      <w:r w:rsidRPr="008368F2">
        <w:rPr>
          <w:bCs/>
        </w:rPr>
        <w:t xml:space="preserve"> бюджета на 202</w:t>
      </w:r>
      <w:r>
        <w:rPr>
          <w:bCs/>
        </w:rPr>
        <w:t>4</w:t>
      </w:r>
      <w:r w:rsidRPr="008368F2">
        <w:rPr>
          <w:bCs/>
        </w:rPr>
        <w:t xml:space="preserve"> год: </w:t>
      </w:r>
    </w:p>
    <w:p w:rsidR="00F13732" w:rsidRPr="008368F2" w:rsidRDefault="00F13732" w:rsidP="00F13732">
      <w:pPr>
        <w:widowControl w:val="0"/>
        <w:spacing w:line="276" w:lineRule="auto"/>
        <w:ind w:firstLine="567"/>
        <w:jc w:val="both"/>
        <w:rPr>
          <w:bCs/>
        </w:rPr>
      </w:pPr>
      <w:r w:rsidRPr="008368F2">
        <w:rPr>
          <w:bCs/>
        </w:rPr>
        <w:t xml:space="preserve">1. общий объем доходов </w:t>
      </w:r>
      <w:r>
        <w:rPr>
          <w:bCs/>
        </w:rPr>
        <w:t xml:space="preserve">местного </w:t>
      </w:r>
      <w:r w:rsidRPr="008368F2">
        <w:rPr>
          <w:bCs/>
        </w:rPr>
        <w:t xml:space="preserve">бюджета в сумме </w:t>
      </w:r>
      <w:r>
        <w:rPr>
          <w:szCs w:val="20"/>
        </w:rPr>
        <w:t>149 187 795,00</w:t>
      </w:r>
      <w:r w:rsidRPr="007C65C5">
        <w:rPr>
          <w:szCs w:val="20"/>
        </w:rPr>
        <w:t xml:space="preserve"> рублей</w:t>
      </w:r>
      <w:r w:rsidRPr="008368F2">
        <w:rPr>
          <w:bCs/>
        </w:rPr>
        <w:t xml:space="preserve">; </w:t>
      </w:r>
    </w:p>
    <w:p w:rsidR="00F13732" w:rsidRPr="008368F2" w:rsidRDefault="00F13732" w:rsidP="00F13732">
      <w:pPr>
        <w:widowControl w:val="0"/>
        <w:spacing w:line="276" w:lineRule="auto"/>
        <w:ind w:firstLine="567"/>
        <w:jc w:val="both"/>
        <w:rPr>
          <w:bCs/>
        </w:rPr>
      </w:pPr>
      <w:r>
        <w:rPr>
          <w:bCs/>
        </w:rPr>
        <w:t>2. общий объем расходов местного</w:t>
      </w:r>
      <w:r w:rsidRPr="008368F2">
        <w:rPr>
          <w:bCs/>
        </w:rPr>
        <w:t xml:space="preserve"> бюджета в сумме </w:t>
      </w:r>
      <w:r>
        <w:rPr>
          <w:szCs w:val="20"/>
        </w:rPr>
        <w:t>153 975 746,52</w:t>
      </w:r>
      <w:r w:rsidRPr="007C65C5">
        <w:rPr>
          <w:szCs w:val="20"/>
        </w:rPr>
        <w:t xml:space="preserve"> </w:t>
      </w:r>
      <w:r w:rsidRPr="008368F2">
        <w:rPr>
          <w:bCs/>
        </w:rPr>
        <w:t xml:space="preserve">рублей; </w:t>
      </w:r>
    </w:p>
    <w:p w:rsidR="00F13732" w:rsidRDefault="00F13732" w:rsidP="00F13732">
      <w:pPr>
        <w:widowControl w:val="0"/>
        <w:spacing w:line="276" w:lineRule="auto"/>
        <w:ind w:firstLine="567"/>
        <w:jc w:val="both"/>
        <w:rPr>
          <w:bCs/>
        </w:rPr>
      </w:pPr>
      <w:r w:rsidRPr="008368F2">
        <w:rPr>
          <w:bCs/>
        </w:rPr>
        <w:t xml:space="preserve">3. дефицит </w:t>
      </w:r>
      <w:r>
        <w:rPr>
          <w:bCs/>
        </w:rPr>
        <w:t>местного</w:t>
      </w:r>
      <w:r w:rsidRPr="008368F2">
        <w:rPr>
          <w:bCs/>
        </w:rPr>
        <w:t xml:space="preserve"> бюджета – </w:t>
      </w:r>
      <w:r>
        <w:rPr>
          <w:szCs w:val="20"/>
        </w:rPr>
        <w:t xml:space="preserve">4 787 951,52 </w:t>
      </w:r>
      <w:r w:rsidRPr="008368F2">
        <w:rPr>
          <w:bCs/>
        </w:rPr>
        <w:t xml:space="preserve">рублей.  </w:t>
      </w:r>
    </w:p>
    <w:p w:rsidR="00F13732" w:rsidRDefault="00F13732" w:rsidP="00F13732">
      <w:pPr>
        <w:spacing w:line="276" w:lineRule="auto"/>
        <w:ind w:firstLine="567"/>
        <w:jc w:val="both"/>
        <w:rPr>
          <w:szCs w:val="20"/>
        </w:rPr>
      </w:pPr>
      <w:r>
        <w:t>Отклонение показателей сводной бюджетной росписи местного бюджета от бюджетных назначений, утвержденных Решением Совета депутатов от 31.05.2024 года №206 «О бюджете муниципального образования Саракташский поссовет на 2024 год и на плановый период 2025 и 2026 годов</w:t>
      </w:r>
      <w:r w:rsidRPr="00053488">
        <w:t>»</w:t>
      </w:r>
      <w:r>
        <w:t xml:space="preserve"> отсутствует </w:t>
      </w:r>
      <w:r w:rsidRPr="00053488">
        <w:rPr>
          <w:szCs w:val="20"/>
        </w:rPr>
        <w:t>(таблица 1).</w:t>
      </w:r>
    </w:p>
    <w:p w:rsidR="00F13732" w:rsidRPr="000F293B" w:rsidRDefault="00F13732" w:rsidP="00F13732">
      <w:pPr>
        <w:spacing w:line="276" w:lineRule="auto"/>
        <w:ind w:firstLine="567"/>
        <w:jc w:val="both"/>
      </w:pPr>
    </w:p>
    <w:p w:rsidR="00F13732" w:rsidRDefault="00F13732" w:rsidP="00F13732">
      <w:pPr>
        <w:spacing w:line="276" w:lineRule="auto"/>
        <w:ind w:firstLine="567"/>
        <w:jc w:val="both"/>
        <w:outlineLvl w:val="1"/>
        <w:rPr>
          <w:szCs w:val="20"/>
        </w:rPr>
      </w:pPr>
    </w:p>
    <w:p w:rsidR="00506435" w:rsidRPr="00D33174" w:rsidRDefault="00506435" w:rsidP="00D33174">
      <w:pPr>
        <w:pStyle w:val="2"/>
        <w:widowControl w:val="0"/>
        <w:spacing w:after="0" w:line="240" w:lineRule="auto"/>
        <w:ind w:left="0"/>
        <w:jc w:val="right"/>
        <w:rPr>
          <w:i/>
          <w:sz w:val="24"/>
          <w:szCs w:val="24"/>
        </w:rPr>
      </w:pPr>
      <w:r w:rsidRPr="00D33174">
        <w:rPr>
          <w:i/>
          <w:sz w:val="24"/>
          <w:szCs w:val="24"/>
        </w:rPr>
        <w:lastRenderedPageBreak/>
        <w:t xml:space="preserve">                                                                                                             Таблица №1(руб.)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5"/>
        <w:gridCol w:w="1559"/>
        <w:gridCol w:w="1417"/>
        <w:gridCol w:w="1419"/>
        <w:gridCol w:w="1276"/>
        <w:gridCol w:w="993"/>
      </w:tblGrid>
      <w:tr w:rsidR="009B2D64" w:rsidTr="00FC65C3">
        <w:trPr>
          <w:trHeight w:val="20"/>
          <w:tblHeader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Наименование кода </w:t>
            </w:r>
          </w:p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Первоначально утвержденные бюджетные назначения</w:t>
            </w:r>
          </w:p>
          <w:p w:rsidR="009B2D64" w:rsidRPr="00655563" w:rsidRDefault="009B2D64" w:rsidP="00F46E36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 (Решение Совета депутатов от </w:t>
            </w:r>
            <w:r w:rsidR="00F46E36">
              <w:rPr>
                <w:b/>
                <w:iCs/>
                <w:sz w:val="22"/>
                <w:szCs w:val="22"/>
              </w:rPr>
              <w:t>31.05.2024г.</w:t>
            </w:r>
            <w:r w:rsidRPr="00655563">
              <w:rPr>
                <w:b/>
                <w:iCs/>
                <w:sz w:val="22"/>
                <w:szCs w:val="22"/>
              </w:rPr>
              <w:t xml:space="preserve"> №</w:t>
            </w:r>
            <w:r w:rsidR="00F46E36">
              <w:rPr>
                <w:b/>
                <w:iCs/>
                <w:sz w:val="22"/>
                <w:szCs w:val="22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Бюджетные назначения согласно отчету об исполнении бюджета на 01.</w:t>
            </w:r>
            <w:r>
              <w:rPr>
                <w:b/>
                <w:iCs/>
                <w:sz w:val="22"/>
                <w:szCs w:val="22"/>
              </w:rPr>
              <w:t>0</w:t>
            </w:r>
            <w:r w:rsidR="005906DC">
              <w:rPr>
                <w:b/>
                <w:iCs/>
                <w:sz w:val="22"/>
                <w:szCs w:val="22"/>
              </w:rPr>
              <w:t>7</w:t>
            </w:r>
            <w:r w:rsidRPr="00655563">
              <w:rPr>
                <w:b/>
                <w:iCs/>
                <w:sz w:val="22"/>
                <w:szCs w:val="22"/>
              </w:rPr>
              <w:t>.20</w:t>
            </w:r>
            <w:r>
              <w:rPr>
                <w:b/>
                <w:iCs/>
                <w:sz w:val="22"/>
                <w:szCs w:val="22"/>
              </w:rPr>
              <w:t>2</w:t>
            </w:r>
            <w:r w:rsidR="00F13732">
              <w:rPr>
                <w:b/>
                <w:iCs/>
                <w:sz w:val="22"/>
                <w:szCs w:val="22"/>
              </w:rPr>
              <w:t>4</w:t>
            </w:r>
            <w:r w:rsidRPr="00655563">
              <w:rPr>
                <w:b/>
                <w:iCs/>
                <w:sz w:val="22"/>
                <w:szCs w:val="22"/>
              </w:rPr>
              <w:t>г.</w:t>
            </w:r>
          </w:p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(Ф.0503117)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Исполнено</w:t>
            </w:r>
          </w:p>
          <w:p w:rsidR="008F1467" w:rsidRPr="00655563" w:rsidRDefault="00F84171" w:rsidP="00F13732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на 01.07.202</w:t>
            </w:r>
            <w:r w:rsidR="00F13732">
              <w:rPr>
                <w:b/>
                <w:iCs/>
                <w:sz w:val="22"/>
                <w:szCs w:val="22"/>
              </w:rPr>
              <w:t>4</w:t>
            </w:r>
            <w:r w:rsidR="008F1467">
              <w:rPr>
                <w:b/>
                <w:iCs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D64" w:rsidRPr="008F1467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8F1467">
              <w:rPr>
                <w:b/>
                <w:iCs/>
                <w:sz w:val="22"/>
                <w:szCs w:val="22"/>
              </w:rPr>
              <w:t>Отклонение</w:t>
            </w:r>
            <w:r w:rsidR="00FC65C3" w:rsidRPr="008F1467">
              <w:rPr>
                <w:b/>
                <w:iCs/>
                <w:sz w:val="22"/>
                <w:szCs w:val="22"/>
              </w:rPr>
              <w:t xml:space="preserve"> от первоначального бюджета</w:t>
            </w:r>
            <w:r w:rsidRPr="008F1467">
              <w:rPr>
                <w:b/>
                <w:iCs/>
                <w:sz w:val="22"/>
                <w:szCs w:val="22"/>
              </w:rPr>
              <w:t xml:space="preserve"> </w:t>
            </w:r>
          </w:p>
          <w:p w:rsidR="009B2D64" w:rsidRPr="008F1467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8F1467">
              <w:rPr>
                <w:b/>
                <w:iCs/>
                <w:sz w:val="22"/>
                <w:szCs w:val="22"/>
              </w:rPr>
              <w:t>(графа 3- графа 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% </w:t>
            </w:r>
          </w:p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исполнения</w:t>
            </w:r>
          </w:p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(графа 4/графа3</w:t>
            </w:r>
          </w:p>
        </w:tc>
      </w:tr>
      <w:tr w:rsidR="009B2D64" w:rsidTr="00FC65C3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64" w:rsidRPr="008F1467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F14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46E36" w:rsidRPr="00FC65C3" w:rsidTr="00E25392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E36" w:rsidRPr="00FC65C3" w:rsidRDefault="00F46E36" w:rsidP="009B2D6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  <w:p w:rsidR="00F46E36" w:rsidRPr="00FC65C3" w:rsidRDefault="00F46E36" w:rsidP="009B2D6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  <w:r w:rsidRPr="00FC65C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36" w:rsidRPr="00FC65C3" w:rsidRDefault="00F46E36" w:rsidP="00E25392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:rsidR="00F46E36" w:rsidRPr="00FC65C3" w:rsidRDefault="00F46E36" w:rsidP="00E25392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52 436 000,00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36" w:rsidRPr="00FC65C3" w:rsidRDefault="00F46E36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:rsidR="00F46E36" w:rsidRPr="00FC65C3" w:rsidRDefault="00F46E36" w:rsidP="00F13732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52 436 000,00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E36" w:rsidRPr="00FC65C3" w:rsidRDefault="00F46E36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25 910 723,47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E36" w:rsidRPr="008F1467" w:rsidRDefault="00F46E36" w:rsidP="00FC65C3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F46E36" w:rsidRPr="008F1467" w:rsidRDefault="00F46E36" w:rsidP="00FC65C3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F14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1F5856" w:rsidP="004B16CB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49,4</w:t>
            </w:r>
          </w:p>
        </w:tc>
      </w:tr>
      <w:tr w:rsidR="00F46E36" w:rsidRPr="00FC65C3" w:rsidTr="00E25392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E36" w:rsidRPr="00FC65C3" w:rsidRDefault="00F46E36" w:rsidP="009B2D6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  <w:p w:rsidR="00F46E36" w:rsidRPr="00FC65C3" w:rsidRDefault="00F46E36" w:rsidP="009B2D6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  <w:r w:rsidRPr="00FC65C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E36" w:rsidRPr="00FC65C3" w:rsidRDefault="00C66528" w:rsidP="00E25392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F46E36" w:rsidRPr="00FC65C3" w:rsidRDefault="00F46E36" w:rsidP="00E25392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96 751 795,00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E36" w:rsidRPr="00FC65C3" w:rsidRDefault="00F46E36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:rsidR="00F46E36" w:rsidRPr="00FC65C3" w:rsidRDefault="00F46E36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96 751 795,00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E36" w:rsidRPr="00FC65C3" w:rsidRDefault="00F46E36" w:rsidP="00F6199B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34 343 250,00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E36" w:rsidRPr="008F1467" w:rsidRDefault="00F46E36" w:rsidP="00FC65C3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F14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1F5856" w:rsidP="00D33174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35,5</w:t>
            </w:r>
          </w:p>
        </w:tc>
      </w:tr>
      <w:tr w:rsidR="00F46E36" w:rsidRPr="00FC65C3" w:rsidTr="006E52F8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E36" w:rsidRPr="00FC65C3" w:rsidRDefault="00F46E36" w:rsidP="009B2D64">
            <w:pPr>
              <w:widowControl w:val="0"/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</w:p>
          <w:p w:rsidR="00F46E36" w:rsidRPr="00FC65C3" w:rsidRDefault="00F46E36" w:rsidP="009B2D64">
            <w:pPr>
              <w:widowControl w:val="0"/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 w:rsidRPr="00FC65C3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E36" w:rsidRDefault="00F46E36" w:rsidP="00E25392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149 187 795,00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Default="00F46E36" w:rsidP="006E52F8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149 187 795,00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E36" w:rsidRPr="00F46E36" w:rsidRDefault="00F46E36" w:rsidP="006E52F8">
            <w:pPr>
              <w:jc w:val="center"/>
              <w:rPr>
                <w:b/>
                <w:sz w:val="18"/>
                <w:szCs w:val="18"/>
              </w:rPr>
            </w:pPr>
            <w:r w:rsidRPr="00F46E36">
              <w:rPr>
                <w:b/>
                <w:sz w:val="18"/>
                <w:szCs w:val="18"/>
              </w:rPr>
              <w:t>60 253 973,47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E36" w:rsidRPr="00F46E36" w:rsidRDefault="00F46E36" w:rsidP="008F1467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F46E3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1F5856" w:rsidP="002B1E3E">
            <w:pPr>
              <w:widowControl w:val="0"/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40,4</w:t>
            </w:r>
          </w:p>
        </w:tc>
      </w:tr>
      <w:tr w:rsidR="00F46E36" w:rsidRPr="00FC65C3" w:rsidTr="00D33174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36" w:rsidRPr="00FC65C3" w:rsidRDefault="00F46E36" w:rsidP="009B2D64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F46E36" w:rsidRPr="00FC65C3" w:rsidRDefault="00F46E36" w:rsidP="009B2D64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E36" w:rsidRPr="00FC65C3" w:rsidRDefault="00F46E36" w:rsidP="00E25392">
            <w:pPr>
              <w:widowControl w:val="0"/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14 517 029,00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F46E36" w:rsidP="009B2D64">
            <w:pPr>
              <w:widowControl w:val="0"/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14 517 029,00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E36" w:rsidRPr="00FC65C3" w:rsidRDefault="00F46E36" w:rsidP="009B2D64">
            <w:pPr>
              <w:widowControl w:val="0"/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7 305 368,00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E36" w:rsidRPr="008F1467" w:rsidRDefault="00F46E36" w:rsidP="00FC65C3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8F14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1F5856" w:rsidP="00D33174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F46E36" w:rsidRPr="00FC65C3" w:rsidTr="00D33174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36" w:rsidRPr="00FC65C3" w:rsidRDefault="00F46E36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E36" w:rsidRPr="00FC65C3" w:rsidRDefault="00F46E36" w:rsidP="00E25392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2 472 500,00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F46E36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2 472 500,00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E36" w:rsidRPr="00FC65C3" w:rsidRDefault="00F46E36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1 175 122,16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E36" w:rsidRPr="008F1467" w:rsidRDefault="00F46E36" w:rsidP="00FC65C3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8F14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1F5856" w:rsidP="00D33174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47,5</w:t>
            </w:r>
          </w:p>
        </w:tc>
      </w:tr>
      <w:tr w:rsidR="00F46E36" w:rsidRPr="00FC65C3" w:rsidTr="00D33174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36" w:rsidRPr="00FC65C3" w:rsidRDefault="00F46E36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F46E36" w:rsidRPr="00FC65C3" w:rsidRDefault="00F46E36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E36" w:rsidRPr="00FC65C3" w:rsidRDefault="00F46E36" w:rsidP="00E25392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51 919 351,00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F46E36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51 919 351,00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E36" w:rsidRPr="00FC65C3" w:rsidRDefault="00F46E36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29 995 691,20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E36" w:rsidRPr="008F1467" w:rsidRDefault="00F46E36" w:rsidP="009363A2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1F5856" w:rsidP="00D33174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57,8</w:t>
            </w:r>
          </w:p>
        </w:tc>
      </w:tr>
      <w:tr w:rsidR="00F46E36" w:rsidRPr="00FC65C3" w:rsidTr="00D33174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36" w:rsidRPr="00FC65C3" w:rsidRDefault="00F46E36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F46E36" w:rsidRPr="00FC65C3" w:rsidRDefault="00F46E36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E36" w:rsidRPr="00FC65C3" w:rsidRDefault="00F46E36" w:rsidP="00E25392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44 377 766,52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F46E36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44 377 766,52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E36" w:rsidRPr="00FC65C3" w:rsidRDefault="00F46E36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12 075 718,56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E36" w:rsidRPr="008F1467" w:rsidRDefault="00F46E36" w:rsidP="008F1467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1F5856" w:rsidP="00D33174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27,2</w:t>
            </w:r>
          </w:p>
        </w:tc>
      </w:tr>
      <w:tr w:rsidR="00F46E36" w:rsidRPr="00FC65C3" w:rsidTr="00D33174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36" w:rsidRPr="00FC65C3" w:rsidRDefault="00F46E36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F46E36" w:rsidRPr="00FC65C3" w:rsidRDefault="00F46E36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E36" w:rsidRPr="00FC65C3" w:rsidRDefault="00F46E36" w:rsidP="00E25392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40 189 100,00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F46E36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40 189 100,00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E36" w:rsidRPr="00FC65C3" w:rsidRDefault="00F46E36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12 845 093,90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E36" w:rsidRPr="008F1467" w:rsidRDefault="00F46E36" w:rsidP="00FC65C3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1F5856" w:rsidP="00D33174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32,0</w:t>
            </w:r>
          </w:p>
        </w:tc>
      </w:tr>
      <w:tr w:rsidR="00F46E36" w:rsidRPr="00FC65C3" w:rsidTr="00D33174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36" w:rsidRPr="00FC65C3" w:rsidRDefault="00F46E36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F46E36" w:rsidRPr="00FC65C3" w:rsidRDefault="00F46E36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E36" w:rsidRPr="00FC65C3" w:rsidRDefault="00F46E36" w:rsidP="00E25392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F46E36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E36" w:rsidRPr="00FC65C3" w:rsidRDefault="00F46E36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189 533,50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E36" w:rsidRPr="008F1467" w:rsidRDefault="00F46E36" w:rsidP="00FC65C3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8F14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1F5856" w:rsidP="00D33174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37,9</w:t>
            </w:r>
          </w:p>
        </w:tc>
      </w:tr>
      <w:tr w:rsidR="00F46E36" w:rsidRPr="00FC65C3" w:rsidTr="00E25392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36" w:rsidRPr="00FC65C3" w:rsidRDefault="00F46E36" w:rsidP="00D33174">
            <w:pPr>
              <w:overflowPunct/>
              <w:autoSpaceDE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  <w:p w:rsidR="00F46E36" w:rsidRPr="00FC65C3" w:rsidRDefault="00F46E36" w:rsidP="00D33174">
            <w:pPr>
              <w:overflowPunct/>
              <w:autoSpaceDE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FC65C3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E36" w:rsidRPr="00FC65C3" w:rsidRDefault="00F46E36" w:rsidP="00E25392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153 975 746,52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F46E36" w:rsidP="008F1467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153 975 746,52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E36" w:rsidRPr="00FC65C3" w:rsidRDefault="00F46E36" w:rsidP="00F46E3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63 586 527,92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E36" w:rsidRPr="008F1467" w:rsidRDefault="00F46E36" w:rsidP="008F1467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46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1F5856" w:rsidP="008F1467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41,3</w:t>
            </w:r>
          </w:p>
        </w:tc>
      </w:tr>
      <w:tr w:rsidR="00F46E36" w:rsidRPr="00FC65C3" w:rsidTr="00E25392">
        <w:trPr>
          <w:trHeight w:val="2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36" w:rsidRPr="00FC65C3" w:rsidRDefault="00F46E36" w:rsidP="00D33174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</w:p>
          <w:p w:rsidR="00F46E36" w:rsidRPr="00FC65C3" w:rsidRDefault="00F46E36" w:rsidP="00D33174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 w:rsidRPr="00FC65C3">
              <w:rPr>
                <w:b/>
                <w:bCs/>
                <w:sz w:val="18"/>
                <w:szCs w:val="18"/>
              </w:rPr>
              <w:t>ИТОГО ДЕФИЦИТ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E36" w:rsidRPr="00FC65C3" w:rsidRDefault="00F46E36" w:rsidP="00E25392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-4 787 951,52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F46E36" w:rsidP="009363A2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-4 787 951,52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E36" w:rsidRPr="00FC65C3" w:rsidRDefault="00F46E36" w:rsidP="006E52F8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-3 332 554,45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E36" w:rsidRPr="008F1467" w:rsidRDefault="00F46E36" w:rsidP="008F1467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467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E36" w:rsidRPr="00FC65C3" w:rsidRDefault="00F46E36" w:rsidP="008F1467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506435" w:rsidRPr="00FC65C3" w:rsidRDefault="00506435" w:rsidP="00506435">
      <w:pPr>
        <w:pStyle w:val="a3"/>
        <w:widowControl w:val="0"/>
        <w:ind w:firstLine="0"/>
        <w:rPr>
          <w:sz w:val="18"/>
          <w:szCs w:val="18"/>
        </w:rPr>
      </w:pPr>
    </w:p>
    <w:p w:rsidR="00C1730C" w:rsidRPr="00076260" w:rsidRDefault="00C1730C" w:rsidP="002B1E3E">
      <w:pPr>
        <w:widowControl w:val="0"/>
        <w:spacing w:line="276" w:lineRule="auto"/>
        <w:ind w:firstLine="567"/>
        <w:jc w:val="both"/>
        <w:rPr>
          <w:szCs w:val="20"/>
        </w:rPr>
      </w:pPr>
      <w:r w:rsidRPr="007C65C5">
        <w:rPr>
          <w:szCs w:val="20"/>
        </w:rPr>
        <w:t xml:space="preserve">За 1 </w:t>
      </w:r>
      <w:r w:rsidR="004B16CB">
        <w:rPr>
          <w:szCs w:val="20"/>
        </w:rPr>
        <w:t>полугодие</w:t>
      </w:r>
      <w:r w:rsidRPr="007C65C5">
        <w:rPr>
          <w:szCs w:val="20"/>
        </w:rPr>
        <w:t xml:space="preserve"> 20</w:t>
      </w:r>
      <w:r w:rsidR="0034432A" w:rsidRPr="007C65C5">
        <w:rPr>
          <w:szCs w:val="20"/>
        </w:rPr>
        <w:t>2</w:t>
      </w:r>
      <w:r w:rsidR="001F5856">
        <w:rPr>
          <w:szCs w:val="20"/>
        </w:rPr>
        <w:t>4</w:t>
      </w:r>
      <w:r w:rsidRPr="007C65C5">
        <w:rPr>
          <w:szCs w:val="20"/>
        </w:rPr>
        <w:t xml:space="preserve"> года в местный бюджет поступило </w:t>
      </w:r>
      <w:r w:rsidRPr="00076260">
        <w:rPr>
          <w:szCs w:val="20"/>
        </w:rPr>
        <w:t xml:space="preserve">доходов в размере </w:t>
      </w:r>
      <w:r w:rsidR="001F5856">
        <w:rPr>
          <w:szCs w:val="20"/>
        </w:rPr>
        <w:t>60 253 973,47</w:t>
      </w:r>
      <w:r w:rsidR="00F84171">
        <w:rPr>
          <w:szCs w:val="20"/>
        </w:rPr>
        <w:t xml:space="preserve"> </w:t>
      </w:r>
      <w:r w:rsidRPr="00076260">
        <w:rPr>
          <w:szCs w:val="20"/>
        </w:rPr>
        <w:t xml:space="preserve">рублей, что составляет </w:t>
      </w:r>
      <w:r w:rsidR="001F5856">
        <w:rPr>
          <w:szCs w:val="20"/>
        </w:rPr>
        <w:t>40,4</w:t>
      </w:r>
      <w:r w:rsidRPr="00076260">
        <w:rPr>
          <w:szCs w:val="20"/>
        </w:rPr>
        <w:t>% по отношению к уточненным годовым плановым назначениям (</w:t>
      </w:r>
      <w:r w:rsidR="00F84171">
        <w:rPr>
          <w:szCs w:val="20"/>
        </w:rPr>
        <w:t>1</w:t>
      </w:r>
      <w:r w:rsidR="001F5856">
        <w:rPr>
          <w:szCs w:val="20"/>
        </w:rPr>
        <w:t>49 187 795,00</w:t>
      </w:r>
      <w:r w:rsidR="00F84171">
        <w:rPr>
          <w:szCs w:val="20"/>
        </w:rPr>
        <w:t xml:space="preserve"> </w:t>
      </w:r>
      <w:r w:rsidRPr="00076260">
        <w:rPr>
          <w:szCs w:val="20"/>
        </w:rPr>
        <w:t xml:space="preserve">рублей), что на </w:t>
      </w:r>
      <w:r w:rsidR="00E628E5">
        <w:rPr>
          <w:szCs w:val="20"/>
        </w:rPr>
        <w:t>48,5</w:t>
      </w:r>
      <w:r w:rsidR="0000716C" w:rsidRPr="00076260">
        <w:rPr>
          <w:szCs w:val="20"/>
        </w:rPr>
        <w:t xml:space="preserve">% </w:t>
      </w:r>
      <w:r w:rsidR="001F5856">
        <w:rPr>
          <w:szCs w:val="20"/>
        </w:rPr>
        <w:t>выше</w:t>
      </w:r>
      <w:r w:rsidRPr="00076260">
        <w:rPr>
          <w:szCs w:val="20"/>
        </w:rPr>
        <w:t>, чем за аналогичный период прошлого года (</w:t>
      </w:r>
      <w:r w:rsidR="001F5856">
        <w:rPr>
          <w:szCs w:val="20"/>
        </w:rPr>
        <w:t>40 573 397,69</w:t>
      </w:r>
      <w:r w:rsidR="00F84171" w:rsidRPr="00076260">
        <w:rPr>
          <w:szCs w:val="20"/>
        </w:rPr>
        <w:t xml:space="preserve"> </w:t>
      </w:r>
      <w:r w:rsidRPr="000D51C1">
        <w:rPr>
          <w:szCs w:val="20"/>
        </w:rPr>
        <w:t>рублей</w:t>
      </w:r>
      <w:r w:rsidRPr="00076260">
        <w:rPr>
          <w:szCs w:val="20"/>
        </w:rPr>
        <w:t>).</w:t>
      </w:r>
    </w:p>
    <w:p w:rsidR="00C1730C" w:rsidRPr="00E25392" w:rsidRDefault="00C1730C" w:rsidP="000D51C1">
      <w:pPr>
        <w:widowControl w:val="0"/>
        <w:spacing w:line="276" w:lineRule="auto"/>
        <w:ind w:firstLine="567"/>
        <w:jc w:val="both"/>
      </w:pPr>
      <w:r w:rsidRPr="00E25392">
        <w:t xml:space="preserve">Расходы из бюджета </w:t>
      </w:r>
      <w:r w:rsidR="007F33F4" w:rsidRPr="00E25392">
        <w:t xml:space="preserve">муниципального образования Саракташский поссовет </w:t>
      </w:r>
      <w:r w:rsidRPr="00E25392">
        <w:t xml:space="preserve">за 1 </w:t>
      </w:r>
      <w:r w:rsidR="000D51C1" w:rsidRPr="00E25392">
        <w:t xml:space="preserve">полугодие </w:t>
      </w:r>
      <w:r w:rsidRPr="00E25392">
        <w:t>текущего года произведены в сумме</w:t>
      </w:r>
      <w:r w:rsidR="00E25392">
        <w:t xml:space="preserve"> 63 586 527,92</w:t>
      </w:r>
      <w:r w:rsidRPr="00E25392">
        <w:t xml:space="preserve"> рублей, что составляет </w:t>
      </w:r>
      <w:r w:rsidR="00E25392">
        <w:t>41,3</w:t>
      </w:r>
      <w:r w:rsidRPr="00E25392">
        <w:t>% к уточненным годовым бюджетным назначениям (</w:t>
      </w:r>
      <w:r w:rsidR="00E25392">
        <w:t>153 975 746,52</w:t>
      </w:r>
      <w:r w:rsidR="007F33F4" w:rsidRPr="00E25392">
        <w:t xml:space="preserve"> </w:t>
      </w:r>
      <w:r w:rsidRPr="00E25392">
        <w:t xml:space="preserve">рублей) и </w:t>
      </w:r>
      <w:r w:rsidR="00E628E5">
        <w:t>158,9</w:t>
      </w:r>
      <w:r w:rsidR="00DB4FFD" w:rsidRPr="00E25392">
        <w:t>%</w:t>
      </w:r>
      <w:r w:rsidRPr="00E25392">
        <w:rPr>
          <w:szCs w:val="20"/>
        </w:rPr>
        <w:t xml:space="preserve"> к объему расходов местного бюджета за аналогичный период прошлого года (</w:t>
      </w:r>
      <w:r w:rsidR="00E25392" w:rsidRPr="00E25392">
        <w:t xml:space="preserve">40 017 224,15 </w:t>
      </w:r>
      <w:r w:rsidRPr="00E25392">
        <w:rPr>
          <w:szCs w:val="20"/>
        </w:rPr>
        <w:t>рублей)</w:t>
      </w:r>
      <w:r w:rsidRPr="00E25392">
        <w:t xml:space="preserve">. </w:t>
      </w:r>
    </w:p>
    <w:p w:rsidR="00B141A4" w:rsidRPr="00076260" w:rsidRDefault="001C633C" w:rsidP="002B1E3E">
      <w:pPr>
        <w:widowControl w:val="0"/>
        <w:tabs>
          <w:tab w:val="left" w:pos="567"/>
        </w:tabs>
        <w:spacing w:line="276" w:lineRule="auto"/>
        <w:jc w:val="both"/>
      </w:pPr>
      <w:r w:rsidRPr="00E25392">
        <w:t xml:space="preserve">        </w:t>
      </w:r>
      <w:r w:rsidR="00C1730C" w:rsidRPr="00E25392">
        <w:t xml:space="preserve">За 1 </w:t>
      </w:r>
      <w:r w:rsidR="000D51C1" w:rsidRPr="00E25392">
        <w:t xml:space="preserve">полугодие </w:t>
      </w:r>
      <w:r w:rsidR="00C1730C" w:rsidRPr="00E25392">
        <w:t xml:space="preserve"> текущего года исполнение бюджета характеризуется </w:t>
      </w:r>
      <w:r w:rsidR="00C1730C" w:rsidRPr="00E25392">
        <w:rPr>
          <w:i/>
        </w:rPr>
        <w:t xml:space="preserve">превышением </w:t>
      </w:r>
      <w:r w:rsidR="00E628E5">
        <w:rPr>
          <w:i/>
        </w:rPr>
        <w:t xml:space="preserve">расходов </w:t>
      </w:r>
      <w:r w:rsidR="007F33F4" w:rsidRPr="00E25392">
        <w:rPr>
          <w:i/>
        </w:rPr>
        <w:t>над</w:t>
      </w:r>
      <w:r w:rsidR="00E628E5">
        <w:rPr>
          <w:i/>
        </w:rPr>
        <w:t xml:space="preserve"> доходами </w:t>
      </w:r>
      <w:r w:rsidR="00C1730C" w:rsidRPr="00E25392">
        <w:t xml:space="preserve">в сумме </w:t>
      </w:r>
      <w:r w:rsidR="00AC74FA">
        <w:t>3 332 554,45</w:t>
      </w:r>
      <w:r w:rsidR="006443A9" w:rsidRPr="00E25392">
        <w:t xml:space="preserve"> </w:t>
      </w:r>
      <w:r w:rsidR="00C1730C" w:rsidRPr="00E25392">
        <w:t xml:space="preserve">рублей. По итогам 1 </w:t>
      </w:r>
      <w:r w:rsidR="000D51C1" w:rsidRPr="00E25392">
        <w:t xml:space="preserve">полугодия </w:t>
      </w:r>
      <w:r w:rsidR="00C1730C" w:rsidRPr="00E25392">
        <w:t>20</w:t>
      </w:r>
      <w:r w:rsidR="00B141A4" w:rsidRPr="00E25392">
        <w:t>2</w:t>
      </w:r>
      <w:r w:rsidR="00AC74FA">
        <w:t>3</w:t>
      </w:r>
      <w:r w:rsidR="00C1730C" w:rsidRPr="00E25392">
        <w:t xml:space="preserve"> года</w:t>
      </w:r>
      <w:r w:rsidR="00B141A4" w:rsidRPr="00E25392">
        <w:t xml:space="preserve"> </w:t>
      </w:r>
      <w:r w:rsidR="00C1730C" w:rsidRPr="00E25392">
        <w:t xml:space="preserve">наблюдалось </w:t>
      </w:r>
      <w:r w:rsidR="00785397" w:rsidRPr="00E25392">
        <w:rPr>
          <w:i/>
        </w:rPr>
        <w:t xml:space="preserve">превышение </w:t>
      </w:r>
      <w:r w:rsidR="00B141A4" w:rsidRPr="00E25392">
        <w:rPr>
          <w:i/>
        </w:rPr>
        <w:t>доходов над расходами</w:t>
      </w:r>
      <w:r w:rsidR="00B141A4" w:rsidRPr="00E25392">
        <w:t xml:space="preserve"> в сумме </w:t>
      </w:r>
      <w:r w:rsidR="00AC74FA">
        <w:t>556 173,54</w:t>
      </w:r>
      <w:r w:rsidR="006443A9" w:rsidRPr="00E25392">
        <w:t xml:space="preserve"> </w:t>
      </w:r>
      <w:r w:rsidR="00B141A4" w:rsidRPr="00E25392">
        <w:t>рублей.</w:t>
      </w:r>
    </w:p>
    <w:p w:rsidR="00022E1A" w:rsidRPr="007C65C5" w:rsidRDefault="00022E1A" w:rsidP="00214300">
      <w:pPr>
        <w:widowControl w:val="0"/>
        <w:jc w:val="center"/>
      </w:pPr>
      <w:r w:rsidRPr="007C65C5">
        <w:rPr>
          <w:noProof/>
        </w:rPr>
        <w:lastRenderedPageBreak/>
        <w:drawing>
          <wp:inline distT="0" distB="0" distL="0" distR="0">
            <wp:extent cx="5866652" cy="2505206"/>
            <wp:effectExtent l="19050" t="0" r="19798" b="9394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6D3D" w:rsidRPr="007C65C5" w:rsidRDefault="00F16D3D" w:rsidP="00C1730C">
      <w:pPr>
        <w:widowControl w:val="0"/>
        <w:jc w:val="both"/>
      </w:pPr>
    </w:p>
    <w:p w:rsidR="00D25DD0" w:rsidRPr="007C65C5" w:rsidRDefault="00D25DD0" w:rsidP="00F16D3D">
      <w:pPr>
        <w:widowControl w:val="0"/>
        <w:tabs>
          <w:tab w:val="left" w:pos="14000"/>
          <w:tab w:val="left" w:pos="14180"/>
          <w:tab w:val="left" w:pos="15260"/>
        </w:tabs>
        <w:jc w:val="center"/>
        <w:rPr>
          <w:i/>
          <w:sz w:val="24"/>
          <w:szCs w:val="20"/>
        </w:rPr>
      </w:pPr>
      <w:r w:rsidRPr="007C65C5">
        <w:rPr>
          <w:i/>
          <w:sz w:val="24"/>
          <w:szCs w:val="20"/>
        </w:rPr>
        <w:t xml:space="preserve">Рис.1. Исполнение бюджета по доходам и расходам за 1 </w:t>
      </w:r>
      <w:r w:rsidR="000D51C1">
        <w:rPr>
          <w:i/>
          <w:sz w:val="24"/>
          <w:szCs w:val="20"/>
        </w:rPr>
        <w:t>полугодие</w:t>
      </w:r>
      <w:r w:rsidRPr="007C65C5">
        <w:rPr>
          <w:i/>
          <w:sz w:val="24"/>
          <w:szCs w:val="20"/>
        </w:rPr>
        <w:t xml:space="preserve"> 20</w:t>
      </w:r>
      <w:r w:rsidR="00785397" w:rsidRPr="007C65C5">
        <w:rPr>
          <w:i/>
          <w:sz w:val="24"/>
          <w:szCs w:val="20"/>
        </w:rPr>
        <w:t>2</w:t>
      </w:r>
      <w:r w:rsidR="00AC74FA">
        <w:rPr>
          <w:i/>
          <w:sz w:val="24"/>
          <w:szCs w:val="20"/>
        </w:rPr>
        <w:t>4</w:t>
      </w:r>
      <w:r w:rsidRPr="007C65C5">
        <w:rPr>
          <w:i/>
          <w:sz w:val="24"/>
          <w:szCs w:val="20"/>
        </w:rPr>
        <w:t xml:space="preserve"> года </w:t>
      </w:r>
      <w:r w:rsidR="00F16D3D" w:rsidRPr="007C65C5">
        <w:rPr>
          <w:i/>
          <w:sz w:val="24"/>
          <w:szCs w:val="20"/>
        </w:rPr>
        <w:t>(</w:t>
      </w:r>
      <w:r w:rsidRPr="007C65C5">
        <w:rPr>
          <w:i/>
          <w:sz w:val="24"/>
          <w:szCs w:val="20"/>
        </w:rPr>
        <w:t>руб.)</w:t>
      </w:r>
    </w:p>
    <w:p w:rsidR="00D25DD0" w:rsidRPr="007C65C5" w:rsidRDefault="00D25DD0" w:rsidP="007F33F4">
      <w:pPr>
        <w:ind w:left="1260" w:hanging="1260"/>
        <w:jc w:val="center"/>
        <w:rPr>
          <w:b/>
        </w:rPr>
      </w:pPr>
    </w:p>
    <w:p w:rsidR="00D25DD0" w:rsidRPr="007C65C5" w:rsidRDefault="00D25DD0" w:rsidP="002B1E3E">
      <w:pPr>
        <w:widowControl w:val="0"/>
        <w:spacing w:line="276" w:lineRule="auto"/>
        <w:ind w:firstLine="567"/>
        <w:jc w:val="both"/>
        <w:rPr>
          <w:szCs w:val="20"/>
        </w:rPr>
      </w:pPr>
      <w:r w:rsidRPr="007C65C5">
        <w:rPr>
          <w:szCs w:val="20"/>
        </w:rPr>
        <w:t xml:space="preserve">Сведения об исполнении бюджета муниципального образования Саракташский поссовет за 1 </w:t>
      </w:r>
      <w:r w:rsidR="000D51C1">
        <w:rPr>
          <w:szCs w:val="20"/>
        </w:rPr>
        <w:t>полугодие</w:t>
      </w:r>
      <w:r w:rsidRPr="007C65C5">
        <w:rPr>
          <w:szCs w:val="20"/>
        </w:rPr>
        <w:t xml:space="preserve"> 20</w:t>
      </w:r>
      <w:r w:rsidR="00785397" w:rsidRPr="007C65C5">
        <w:rPr>
          <w:szCs w:val="20"/>
        </w:rPr>
        <w:t>2</w:t>
      </w:r>
      <w:r w:rsidR="00AC74FA">
        <w:rPr>
          <w:szCs w:val="20"/>
        </w:rPr>
        <w:t>4</w:t>
      </w:r>
      <w:r w:rsidRPr="007C65C5">
        <w:rPr>
          <w:szCs w:val="20"/>
        </w:rPr>
        <w:t xml:space="preserve"> года по доходам и расходам приведены </w:t>
      </w:r>
      <w:r w:rsidRPr="00076260">
        <w:rPr>
          <w:szCs w:val="20"/>
        </w:rPr>
        <w:t xml:space="preserve">в </w:t>
      </w:r>
      <w:r w:rsidRPr="00076260">
        <w:rPr>
          <w:i/>
          <w:szCs w:val="20"/>
        </w:rPr>
        <w:t>приложени</w:t>
      </w:r>
      <w:r w:rsidR="00F16D3D" w:rsidRPr="00076260">
        <w:rPr>
          <w:i/>
          <w:szCs w:val="20"/>
        </w:rPr>
        <w:t>и</w:t>
      </w:r>
      <w:r w:rsidRPr="00076260">
        <w:rPr>
          <w:i/>
          <w:szCs w:val="20"/>
        </w:rPr>
        <w:t xml:space="preserve"> 1</w:t>
      </w:r>
      <w:r w:rsidRPr="00076260">
        <w:rPr>
          <w:szCs w:val="20"/>
        </w:rPr>
        <w:t xml:space="preserve"> к аналитической записке.</w:t>
      </w:r>
    </w:p>
    <w:p w:rsidR="00F16D3D" w:rsidRPr="003E5D64" w:rsidRDefault="00F16D3D" w:rsidP="002B1E3E">
      <w:pPr>
        <w:widowControl w:val="0"/>
        <w:spacing w:line="276" w:lineRule="auto"/>
        <w:ind w:firstLine="567"/>
        <w:jc w:val="both"/>
      </w:pPr>
    </w:p>
    <w:p w:rsidR="007F33F4" w:rsidRPr="007C65C5" w:rsidRDefault="007F33F4" w:rsidP="007F33F4">
      <w:pPr>
        <w:ind w:left="1260" w:hanging="1260"/>
        <w:jc w:val="center"/>
        <w:rPr>
          <w:b/>
          <w:i/>
        </w:rPr>
      </w:pPr>
      <w:r w:rsidRPr="007C65C5">
        <w:rPr>
          <w:b/>
          <w:i/>
        </w:rPr>
        <w:t xml:space="preserve">3. Анализ исполнения </w:t>
      </w:r>
      <w:r w:rsidR="00F16D3D" w:rsidRPr="007C65C5">
        <w:rPr>
          <w:b/>
          <w:i/>
        </w:rPr>
        <w:t xml:space="preserve">местного </w:t>
      </w:r>
      <w:r w:rsidRPr="007C65C5">
        <w:rPr>
          <w:b/>
          <w:i/>
        </w:rPr>
        <w:t>бюджета</w:t>
      </w:r>
      <w:r w:rsidR="00F16D3D" w:rsidRPr="007C65C5">
        <w:rPr>
          <w:b/>
          <w:i/>
        </w:rPr>
        <w:t xml:space="preserve"> по доходам</w:t>
      </w:r>
    </w:p>
    <w:p w:rsidR="00F16D3D" w:rsidRPr="003E5D64" w:rsidRDefault="00F16D3D" w:rsidP="00345494">
      <w:pPr>
        <w:spacing w:line="276" w:lineRule="auto"/>
        <w:ind w:left="1260" w:hanging="1260"/>
        <w:jc w:val="center"/>
        <w:rPr>
          <w:b/>
        </w:rPr>
      </w:pPr>
    </w:p>
    <w:p w:rsidR="00345494" w:rsidRDefault="00345494" w:rsidP="00F176F7">
      <w:pPr>
        <w:tabs>
          <w:tab w:val="left" w:pos="567"/>
        </w:tabs>
        <w:spacing w:line="276" w:lineRule="auto"/>
        <w:jc w:val="both"/>
        <w:rPr>
          <w:rStyle w:val="markedcontent"/>
        </w:rPr>
      </w:pPr>
      <w:r>
        <w:rPr>
          <w:rStyle w:val="markedcontent"/>
        </w:rPr>
        <w:t xml:space="preserve">        </w:t>
      </w:r>
      <w:r w:rsidRPr="00345494">
        <w:rPr>
          <w:rStyle w:val="markedcontent"/>
        </w:rPr>
        <w:t>В объеме поступивших по состоянию на 01.0</w:t>
      </w:r>
      <w:r w:rsidR="003C74B2">
        <w:rPr>
          <w:rStyle w:val="markedcontent"/>
        </w:rPr>
        <w:t>7</w:t>
      </w:r>
      <w:r w:rsidRPr="00345494">
        <w:rPr>
          <w:rStyle w:val="markedcontent"/>
        </w:rPr>
        <w:t>.20</w:t>
      </w:r>
      <w:r>
        <w:rPr>
          <w:rStyle w:val="markedcontent"/>
        </w:rPr>
        <w:t>2</w:t>
      </w:r>
      <w:r w:rsidR="00F16624">
        <w:rPr>
          <w:rStyle w:val="markedcontent"/>
        </w:rPr>
        <w:t>4</w:t>
      </w:r>
      <w:r>
        <w:rPr>
          <w:rStyle w:val="markedcontent"/>
        </w:rPr>
        <w:t xml:space="preserve"> года </w:t>
      </w:r>
      <w:r w:rsidRPr="00345494">
        <w:rPr>
          <w:rStyle w:val="markedcontent"/>
        </w:rPr>
        <w:t xml:space="preserve">доходов </w:t>
      </w:r>
      <w:r>
        <w:rPr>
          <w:rStyle w:val="markedcontent"/>
        </w:rPr>
        <w:t xml:space="preserve">местного </w:t>
      </w:r>
      <w:r w:rsidRPr="00345494">
        <w:rPr>
          <w:rStyle w:val="markedcontent"/>
        </w:rPr>
        <w:t xml:space="preserve"> бюджет</w:t>
      </w:r>
      <w:r>
        <w:rPr>
          <w:rStyle w:val="markedcontent"/>
        </w:rPr>
        <w:t>а</w:t>
      </w:r>
      <w:r w:rsidRPr="00345494">
        <w:rPr>
          <w:rStyle w:val="markedcontent"/>
        </w:rPr>
        <w:t xml:space="preserve"> налоговые </w:t>
      </w:r>
      <w:r>
        <w:rPr>
          <w:rStyle w:val="markedcontent"/>
        </w:rPr>
        <w:t xml:space="preserve">и </w:t>
      </w:r>
      <w:r w:rsidRPr="00345494">
        <w:rPr>
          <w:rStyle w:val="markedcontent"/>
        </w:rPr>
        <w:t xml:space="preserve">неналоговые доходы составили </w:t>
      </w:r>
      <w:r w:rsidR="00F16624">
        <w:rPr>
          <w:rStyle w:val="markedcontent"/>
        </w:rPr>
        <w:t>25 910 723,47</w:t>
      </w:r>
      <w:r>
        <w:rPr>
          <w:rStyle w:val="markedcontent"/>
        </w:rPr>
        <w:t xml:space="preserve"> </w:t>
      </w:r>
      <w:r w:rsidRPr="00345494">
        <w:rPr>
          <w:rStyle w:val="markedcontent"/>
        </w:rPr>
        <w:t>рублей (</w:t>
      </w:r>
      <w:r w:rsidR="00F16624">
        <w:rPr>
          <w:rStyle w:val="markedcontent"/>
        </w:rPr>
        <w:t>43,0</w:t>
      </w:r>
      <w:r w:rsidR="006443A9">
        <w:rPr>
          <w:rStyle w:val="markedcontent"/>
        </w:rPr>
        <w:t>,0</w:t>
      </w:r>
      <w:r w:rsidRPr="00345494">
        <w:rPr>
          <w:rStyle w:val="markedcontent"/>
        </w:rPr>
        <w:t>%), безвозмездные поступления</w:t>
      </w:r>
      <w:r>
        <w:rPr>
          <w:rStyle w:val="markedcontent"/>
        </w:rPr>
        <w:t xml:space="preserve"> </w:t>
      </w:r>
      <w:r w:rsidRPr="00345494">
        <w:rPr>
          <w:rStyle w:val="markedcontent"/>
        </w:rPr>
        <w:t xml:space="preserve">– </w:t>
      </w:r>
      <w:r w:rsidR="00F16624">
        <w:rPr>
          <w:rStyle w:val="markedcontent"/>
        </w:rPr>
        <w:t>34 343 250,00</w:t>
      </w:r>
      <w:r w:rsidRPr="00345494">
        <w:rPr>
          <w:rStyle w:val="markedcontent"/>
        </w:rPr>
        <w:t xml:space="preserve"> рублей </w:t>
      </w:r>
      <w:r>
        <w:rPr>
          <w:rStyle w:val="markedcontent"/>
        </w:rPr>
        <w:t>(</w:t>
      </w:r>
      <w:r w:rsidR="00F16624">
        <w:rPr>
          <w:rStyle w:val="markedcontent"/>
        </w:rPr>
        <w:t>57</w:t>
      </w:r>
      <w:r w:rsidR="006443A9">
        <w:rPr>
          <w:rStyle w:val="markedcontent"/>
        </w:rPr>
        <w:t>,0</w:t>
      </w:r>
      <w:r w:rsidRPr="00345494">
        <w:rPr>
          <w:rStyle w:val="markedcontent"/>
        </w:rPr>
        <w:t>%)</w:t>
      </w:r>
      <w:r>
        <w:rPr>
          <w:rStyle w:val="markedcontent"/>
        </w:rPr>
        <w:t>.</w:t>
      </w:r>
    </w:p>
    <w:p w:rsidR="003458CC" w:rsidRDefault="00F43BB1" w:rsidP="002B1E3E">
      <w:pPr>
        <w:spacing w:line="276" w:lineRule="auto"/>
        <w:ind w:firstLine="567"/>
        <w:jc w:val="both"/>
      </w:pPr>
      <w:r w:rsidRPr="007C65C5">
        <w:t xml:space="preserve">Годовой объем бюджетных назначений по </w:t>
      </w:r>
      <w:r w:rsidRPr="007C65C5">
        <w:rPr>
          <w:i/>
        </w:rPr>
        <w:t xml:space="preserve">налоговым и неналоговым доходам </w:t>
      </w:r>
      <w:r w:rsidRPr="007C65C5">
        <w:t>местного бюджета (</w:t>
      </w:r>
      <w:r w:rsidR="00F16624">
        <w:t>52 436 000,00</w:t>
      </w:r>
      <w:r w:rsidR="00A55C7B" w:rsidRPr="007C65C5">
        <w:t xml:space="preserve"> </w:t>
      </w:r>
      <w:r w:rsidRPr="007C65C5">
        <w:t>рублей) на 01.0</w:t>
      </w:r>
      <w:r w:rsidR="003C74B2">
        <w:t>7</w:t>
      </w:r>
      <w:r w:rsidRPr="007C65C5">
        <w:t>.20</w:t>
      </w:r>
      <w:r w:rsidR="00785397" w:rsidRPr="007C65C5">
        <w:t>2</w:t>
      </w:r>
      <w:r w:rsidR="00F16624">
        <w:t>4</w:t>
      </w:r>
      <w:r w:rsidRPr="007C65C5">
        <w:t xml:space="preserve">г. исполнен </w:t>
      </w:r>
      <w:r w:rsidR="004B18DC" w:rsidRPr="007C65C5">
        <w:t xml:space="preserve">в размере </w:t>
      </w:r>
      <w:r w:rsidR="00F16624">
        <w:t>25 910 723,47</w:t>
      </w:r>
      <w:r w:rsidR="004B18DC" w:rsidRPr="007C65C5">
        <w:t xml:space="preserve"> рублей</w:t>
      </w:r>
      <w:r w:rsidR="00E83063" w:rsidRPr="00E83063">
        <w:t xml:space="preserve"> </w:t>
      </w:r>
      <w:r w:rsidR="00E83063" w:rsidRPr="007C65C5">
        <w:t xml:space="preserve">или на </w:t>
      </w:r>
      <w:r w:rsidR="00F16624">
        <w:t>49,4</w:t>
      </w:r>
      <w:r w:rsidR="00E83063" w:rsidRPr="007C65C5">
        <w:t>%</w:t>
      </w:r>
      <w:r w:rsidR="003458CC">
        <w:t>.</w:t>
      </w:r>
    </w:p>
    <w:p w:rsidR="00CA5C3B" w:rsidRPr="007C65C5" w:rsidRDefault="0011402D" w:rsidP="002B1E3E">
      <w:pPr>
        <w:spacing w:line="276" w:lineRule="auto"/>
        <w:ind w:firstLine="567"/>
        <w:jc w:val="both"/>
      </w:pPr>
      <w:r>
        <w:t xml:space="preserve">По сравнению с 1 </w:t>
      </w:r>
      <w:r w:rsidR="003C74B2">
        <w:t xml:space="preserve">полугодием </w:t>
      </w:r>
      <w:r w:rsidR="006443A9">
        <w:t>202</w:t>
      </w:r>
      <w:r w:rsidR="00F16624">
        <w:t>3</w:t>
      </w:r>
      <w:r w:rsidR="003458CC">
        <w:t xml:space="preserve"> года налоговые и неналоговые доходы у</w:t>
      </w:r>
      <w:r w:rsidR="00F16624">
        <w:t>величились</w:t>
      </w:r>
      <w:r w:rsidR="003458CC">
        <w:t xml:space="preserve"> на </w:t>
      </w:r>
      <w:r w:rsidR="00F16624">
        <w:t>5 205 624,78</w:t>
      </w:r>
      <w:r w:rsidR="003458CC">
        <w:t xml:space="preserve"> рублей, или на </w:t>
      </w:r>
      <w:r w:rsidR="00F16624">
        <w:t>25,1</w:t>
      </w:r>
      <w:r w:rsidR="003458CC">
        <w:t>%</w:t>
      </w:r>
      <w:r w:rsidR="00E83063">
        <w:t xml:space="preserve">. </w:t>
      </w:r>
      <w:r w:rsidR="004B18DC" w:rsidRPr="007C65C5">
        <w:t xml:space="preserve"> </w:t>
      </w:r>
    </w:p>
    <w:p w:rsidR="00F43BB1" w:rsidRDefault="00F43BB1" w:rsidP="002B1E3E">
      <w:pPr>
        <w:widowControl w:val="0"/>
        <w:spacing w:line="276" w:lineRule="auto"/>
        <w:ind w:firstLine="567"/>
        <w:jc w:val="both"/>
        <w:rPr>
          <w:i/>
        </w:rPr>
      </w:pPr>
      <w:r w:rsidRPr="007C65C5">
        <w:t xml:space="preserve">Показатели, характеризующие исполнение бюджетных назначений по </w:t>
      </w:r>
      <w:r w:rsidRPr="007C65C5">
        <w:rPr>
          <w:i/>
        </w:rPr>
        <w:t>налоговым и неналоговым доходам</w:t>
      </w:r>
      <w:r w:rsidR="00157978" w:rsidRPr="007C65C5">
        <w:t xml:space="preserve"> за 1 </w:t>
      </w:r>
      <w:r w:rsidR="003C74B2">
        <w:t xml:space="preserve">полугодие </w:t>
      </w:r>
      <w:r w:rsidR="00157978" w:rsidRPr="007C65C5">
        <w:t>202</w:t>
      </w:r>
      <w:r w:rsidR="00F16624">
        <w:t>4</w:t>
      </w:r>
      <w:r w:rsidRPr="007C65C5">
        <w:t xml:space="preserve"> года (в разрезе основных источников) приведены на </w:t>
      </w:r>
      <w:r w:rsidR="002B1E3E">
        <w:rPr>
          <w:i/>
        </w:rPr>
        <w:t>рисунке 2</w:t>
      </w:r>
      <w:r w:rsidRPr="007C65C5">
        <w:rPr>
          <w:i/>
        </w:rPr>
        <w:t>.</w:t>
      </w:r>
    </w:p>
    <w:p w:rsidR="00E15A2F" w:rsidRPr="007C65C5" w:rsidRDefault="00E15A2F" w:rsidP="002B1E3E">
      <w:pPr>
        <w:widowControl w:val="0"/>
        <w:spacing w:line="276" w:lineRule="auto"/>
        <w:ind w:firstLine="567"/>
        <w:jc w:val="both"/>
        <w:rPr>
          <w:i/>
        </w:rPr>
      </w:pPr>
    </w:p>
    <w:p w:rsidR="002B1789" w:rsidRPr="007C65C5" w:rsidRDefault="002B1789" w:rsidP="007C65C5">
      <w:pPr>
        <w:widowControl w:val="0"/>
        <w:jc w:val="both"/>
      </w:pPr>
      <w:r w:rsidRPr="007C65C5">
        <w:rPr>
          <w:i/>
          <w:noProof/>
        </w:rPr>
        <w:lastRenderedPageBreak/>
        <w:drawing>
          <wp:inline distT="0" distB="0" distL="0" distR="0">
            <wp:extent cx="6208764" cy="3425588"/>
            <wp:effectExtent l="19050" t="0" r="20586" b="3412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3BB1" w:rsidRPr="007C65C5" w:rsidRDefault="00F43BB1" w:rsidP="00F43BB1">
      <w:pPr>
        <w:widowControl w:val="0"/>
        <w:ind w:right="2"/>
        <w:jc w:val="center"/>
        <w:rPr>
          <w:i/>
          <w:sz w:val="24"/>
        </w:rPr>
      </w:pPr>
    </w:p>
    <w:p w:rsidR="00F43BB1" w:rsidRPr="007C65C5" w:rsidRDefault="00F43BB1" w:rsidP="00F43BB1">
      <w:pPr>
        <w:widowControl w:val="0"/>
        <w:ind w:right="2"/>
        <w:jc w:val="center"/>
        <w:rPr>
          <w:i/>
          <w:sz w:val="24"/>
        </w:rPr>
      </w:pPr>
      <w:r w:rsidRPr="007C65C5">
        <w:rPr>
          <w:i/>
          <w:sz w:val="24"/>
        </w:rPr>
        <w:t xml:space="preserve">Рис. </w:t>
      </w:r>
      <w:r w:rsidR="002B1E3E">
        <w:rPr>
          <w:i/>
          <w:sz w:val="24"/>
        </w:rPr>
        <w:t>2</w:t>
      </w:r>
      <w:r w:rsidRPr="007C65C5">
        <w:rPr>
          <w:i/>
          <w:sz w:val="24"/>
        </w:rPr>
        <w:t>. Исполнение бюджета по налоговым и неналоговым доходам (руб</w:t>
      </w:r>
      <w:r w:rsidR="000C612E" w:rsidRPr="007C65C5">
        <w:rPr>
          <w:i/>
          <w:sz w:val="24"/>
        </w:rPr>
        <w:t>.)</w:t>
      </w:r>
    </w:p>
    <w:p w:rsidR="000C612E" w:rsidRPr="007C65C5" w:rsidRDefault="000C612E" w:rsidP="00F43BB1">
      <w:pPr>
        <w:widowControl w:val="0"/>
        <w:ind w:right="2"/>
        <w:jc w:val="center"/>
        <w:rPr>
          <w:i/>
          <w:sz w:val="24"/>
        </w:rPr>
      </w:pPr>
    </w:p>
    <w:p w:rsidR="00812353" w:rsidRDefault="00CC3A46" w:rsidP="00427A7B">
      <w:pPr>
        <w:widowControl w:val="0"/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i/>
          <w:iCs/>
        </w:rPr>
      </w:pPr>
      <w:r>
        <w:rPr>
          <w:b/>
          <w:bCs/>
        </w:rPr>
        <w:t>П</w:t>
      </w:r>
      <w:r>
        <w:rPr>
          <w:b/>
        </w:rPr>
        <w:t>рирост</w:t>
      </w:r>
      <w:r>
        <w:t xml:space="preserve"> поступлений произошел </w:t>
      </w:r>
      <w:r w:rsidR="00812353">
        <w:t xml:space="preserve">по </w:t>
      </w:r>
      <w:r w:rsidR="00812353" w:rsidRPr="00080BA9">
        <w:t>налог</w:t>
      </w:r>
      <w:r w:rsidR="00812353">
        <w:t xml:space="preserve">у </w:t>
      </w:r>
      <w:r w:rsidR="00812353" w:rsidRPr="00080BA9">
        <w:t xml:space="preserve">на доходы </w:t>
      </w:r>
      <w:r w:rsidR="00812353">
        <w:t xml:space="preserve"> физических лиц (на 21,8%); </w:t>
      </w:r>
      <w:r>
        <w:t>по налогу на товары (работы, услуги), реализуемые на территории РФ</w:t>
      </w:r>
      <w:r w:rsidRPr="006C2EB5">
        <w:t xml:space="preserve"> </w:t>
      </w:r>
      <w:r w:rsidR="00812353">
        <w:t>(на 3,4</w:t>
      </w:r>
      <w:r>
        <w:t xml:space="preserve">,0%); </w:t>
      </w:r>
      <w:r w:rsidR="00812353">
        <w:t>налогу на имущество (на 56,9%);</w:t>
      </w:r>
      <w:r w:rsidR="00812353" w:rsidRPr="00812353">
        <w:t xml:space="preserve"> </w:t>
      </w:r>
      <w:r w:rsidR="00812353">
        <w:t>доходы от использования имущества, находящегося в государственной и муниципальной собственности (на 131,3%</w:t>
      </w:r>
      <w:r w:rsidR="00812353" w:rsidRPr="00080BA9">
        <w:t>)</w:t>
      </w:r>
      <w:r w:rsidR="00812353">
        <w:t>;</w:t>
      </w:r>
      <w:r w:rsidR="00812353" w:rsidRPr="00B8554D">
        <w:t xml:space="preserve"> </w:t>
      </w:r>
      <w:r w:rsidR="00812353" w:rsidRPr="00235D5B">
        <w:t>доходы от продажи материальных и нематериальных активов (</w:t>
      </w:r>
      <w:r w:rsidR="00812353">
        <w:t>на 458,7%</w:t>
      </w:r>
      <w:r w:rsidR="00812353" w:rsidRPr="00235D5B">
        <w:t>)</w:t>
      </w:r>
      <w:r w:rsidR="00812353">
        <w:t xml:space="preserve">. </w:t>
      </w:r>
    </w:p>
    <w:p w:rsidR="00B8554D" w:rsidRDefault="00CC3A46" w:rsidP="00427A7B">
      <w:pPr>
        <w:widowControl w:val="0"/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i/>
          <w:iCs/>
        </w:rPr>
      </w:pPr>
      <w:r>
        <w:rPr>
          <w:b/>
        </w:rPr>
        <w:t>С</w:t>
      </w:r>
      <w:r w:rsidRPr="003A265E">
        <w:rPr>
          <w:b/>
        </w:rPr>
        <w:t>нижение</w:t>
      </w:r>
      <w:r w:rsidRPr="003A265E">
        <w:t xml:space="preserve"> поступлений</w:t>
      </w:r>
      <w:r w:rsidR="004A1A69">
        <w:t xml:space="preserve"> </w:t>
      </w:r>
      <w:r w:rsidRPr="006C2EB5">
        <w:t>отмечается</w:t>
      </w:r>
      <w:r w:rsidR="004A1A69">
        <w:t xml:space="preserve"> </w:t>
      </w:r>
      <w:r w:rsidR="00812353">
        <w:t>по</w:t>
      </w:r>
      <w:r w:rsidR="004A1A69" w:rsidRPr="00080BA9">
        <w:t xml:space="preserve"> </w:t>
      </w:r>
      <w:r w:rsidR="00812353" w:rsidRPr="006C2EB5">
        <w:t xml:space="preserve">налогу на совокупный доход (на </w:t>
      </w:r>
      <w:r w:rsidR="00812353">
        <w:t>0,6</w:t>
      </w:r>
      <w:r w:rsidR="00812353" w:rsidRPr="006C2EB5">
        <w:t xml:space="preserve">%); государственной пошлине (на </w:t>
      </w:r>
      <w:r w:rsidR="00812353">
        <w:t>63,5</w:t>
      </w:r>
      <w:r w:rsidR="00812353" w:rsidRPr="006C2EB5">
        <w:t>%)</w:t>
      </w:r>
      <w:r w:rsidR="00812353">
        <w:t>.</w:t>
      </w:r>
    </w:p>
    <w:p w:rsidR="00CC3A46" w:rsidRDefault="00CC3A46" w:rsidP="00427A7B">
      <w:pPr>
        <w:spacing w:line="276" w:lineRule="auto"/>
        <w:ind w:firstLine="567"/>
        <w:jc w:val="both"/>
      </w:pPr>
      <w:r>
        <w:t xml:space="preserve">Преобладающую долю в группе </w:t>
      </w:r>
      <w:r w:rsidRPr="00B03FAF">
        <w:t xml:space="preserve">налоговых и неналоговых доходов </w:t>
      </w:r>
      <w:r w:rsidR="003E5D64">
        <w:t xml:space="preserve">            </w:t>
      </w:r>
      <w:r>
        <w:t>по</w:t>
      </w:r>
      <w:r w:rsidR="003E5D64">
        <w:t>-</w:t>
      </w:r>
      <w:r>
        <w:t>прежнему</w:t>
      </w:r>
      <w:r w:rsidR="00025E3B">
        <w:t xml:space="preserve"> </w:t>
      </w:r>
      <w:r>
        <w:t xml:space="preserve">занимают </w:t>
      </w:r>
      <w:r w:rsidRPr="00B03FAF">
        <w:t xml:space="preserve"> </w:t>
      </w:r>
      <w:r w:rsidR="00025E3B">
        <w:t xml:space="preserve">поступления </w:t>
      </w:r>
      <w:r>
        <w:t xml:space="preserve">от </w:t>
      </w:r>
      <w:r w:rsidRPr="00B03FAF">
        <w:rPr>
          <w:i/>
          <w:iCs/>
        </w:rPr>
        <w:t>налогов на доходы физических лиц</w:t>
      </w:r>
      <w:r w:rsidR="00812353">
        <w:rPr>
          <w:i/>
          <w:iCs/>
        </w:rPr>
        <w:t xml:space="preserve"> </w:t>
      </w:r>
      <w:r w:rsidRPr="00C8722E">
        <w:t>(</w:t>
      </w:r>
      <w:r w:rsidR="00812353">
        <w:t>49,0</w:t>
      </w:r>
      <w:r w:rsidRPr="00C8722E">
        <w:t>%).</w:t>
      </w:r>
    </w:p>
    <w:p w:rsidR="00025E3B" w:rsidRPr="00FB4CAF" w:rsidRDefault="00025E3B" w:rsidP="00427A7B">
      <w:pPr>
        <w:spacing w:line="276" w:lineRule="auto"/>
        <w:ind w:firstLine="567"/>
        <w:jc w:val="both"/>
        <w:rPr>
          <w:i/>
        </w:rPr>
      </w:pPr>
      <w:r w:rsidRPr="0099758E">
        <w:t>Удельный вес</w:t>
      </w:r>
      <w:r>
        <w:t xml:space="preserve"> </w:t>
      </w:r>
      <w:r w:rsidRPr="00FB4CAF">
        <w:rPr>
          <w:i/>
          <w:iCs/>
        </w:rPr>
        <w:t xml:space="preserve">доходов </w:t>
      </w:r>
      <w:r>
        <w:rPr>
          <w:i/>
          <w:iCs/>
        </w:rPr>
        <w:t xml:space="preserve">от </w:t>
      </w:r>
      <w:r w:rsidRPr="00FB4CAF">
        <w:rPr>
          <w:i/>
          <w:iCs/>
        </w:rPr>
        <w:t>налог</w:t>
      </w:r>
      <w:r w:rsidR="0065107E">
        <w:rPr>
          <w:i/>
          <w:iCs/>
        </w:rPr>
        <w:t>а</w:t>
      </w:r>
      <w:r w:rsidRPr="00FB4CAF">
        <w:rPr>
          <w:i/>
          <w:iCs/>
        </w:rPr>
        <w:t xml:space="preserve"> </w:t>
      </w:r>
      <w:r>
        <w:rPr>
          <w:i/>
          <w:iCs/>
        </w:rPr>
        <w:t>на товары</w:t>
      </w:r>
      <w:r w:rsidR="0065107E">
        <w:rPr>
          <w:i/>
          <w:iCs/>
        </w:rPr>
        <w:t>, реализуемые на территории Российской Федерации – 2</w:t>
      </w:r>
      <w:r w:rsidR="00812353">
        <w:rPr>
          <w:i/>
          <w:iCs/>
        </w:rPr>
        <w:t>2,2</w:t>
      </w:r>
      <w:r w:rsidR="0065107E">
        <w:rPr>
          <w:i/>
          <w:iCs/>
        </w:rPr>
        <w:t xml:space="preserve">%, налогов </w:t>
      </w:r>
      <w:r w:rsidRPr="00FB4CAF">
        <w:rPr>
          <w:i/>
          <w:iCs/>
        </w:rPr>
        <w:t xml:space="preserve">на совокупный доход </w:t>
      </w:r>
      <w:r w:rsidRPr="00FB4CAF">
        <w:rPr>
          <w:i/>
          <w:iCs/>
        </w:rPr>
        <w:sym w:font="Symbol" w:char="F02D"/>
      </w:r>
      <w:r w:rsidR="00812353">
        <w:rPr>
          <w:i/>
          <w:iCs/>
        </w:rPr>
        <w:t xml:space="preserve"> 9,3</w:t>
      </w:r>
      <w:r w:rsidRPr="00074861">
        <w:rPr>
          <w:i/>
        </w:rPr>
        <w:t>%,</w:t>
      </w:r>
      <w:r>
        <w:rPr>
          <w:i/>
        </w:rPr>
        <w:t xml:space="preserve"> налогов на имущество – </w:t>
      </w:r>
      <w:r w:rsidR="0071405C">
        <w:rPr>
          <w:i/>
        </w:rPr>
        <w:t>11,4</w:t>
      </w:r>
      <w:r>
        <w:rPr>
          <w:i/>
        </w:rPr>
        <w:t>%,</w:t>
      </w:r>
      <w:r w:rsidRPr="00025E3B">
        <w:rPr>
          <w:i/>
        </w:rPr>
        <w:t xml:space="preserve"> </w:t>
      </w:r>
      <w:r w:rsidRPr="00FB4CAF">
        <w:rPr>
          <w:i/>
        </w:rPr>
        <w:t>государственная пошлина</w:t>
      </w:r>
      <w:r w:rsidR="0071405C">
        <w:rPr>
          <w:i/>
        </w:rPr>
        <w:t xml:space="preserve"> </w:t>
      </w:r>
      <w:r w:rsidRPr="00FB4CAF">
        <w:rPr>
          <w:i/>
        </w:rPr>
        <w:t>–</w:t>
      </w:r>
      <w:r w:rsidR="0071405C">
        <w:rPr>
          <w:i/>
        </w:rPr>
        <w:t xml:space="preserve"> </w:t>
      </w:r>
      <w:r w:rsidRPr="00074861">
        <w:rPr>
          <w:i/>
        </w:rPr>
        <w:t>0,</w:t>
      </w:r>
      <w:r>
        <w:rPr>
          <w:i/>
        </w:rPr>
        <w:t>0</w:t>
      </w:r>
      <w:r w:rsidR="0071405C">
        <w:rPr>
          <w:i/>
        </w:rPr>
        <w:t>05</w:t>
      </w:r>
      <w:r w:rsidRPr="00074861">
        <w:rPr>
          <w:i/>
        </w:rPr>
        <w:t>%,</w:t>
      </w:r>
      <w:r>
        <w:rPr>
          <w:i/>
        </w:rPr>
        <w:t xml:space="preserve"> доходы </w:t>
      </w:r>
      <w:r w:rsidRPr="00FB4CAF">
        <w:rPr>
          <w:i/>
          <w:iCs/>
        </w:rPr>
        <w:t>от использования имущества</w:t>
      </w:r>
      <w:r w:rsidRPr="00FB4CAF">
        <w:rPr>
          <w:i/>
        </w:rPr>
        <w:t>, находящегося в муниципальной собственности –</w:t>
      </w:r>
      <w:r w:rsidR="0071405C">
        <w:rPr>
          <w:i/>
        </w:rPr>
        <w:t>0,3</w:t>
      </w:r>
      <w:r w:rsidRPr="00074861">
        <w:rPr>
          <w:i/>
        </w:rPr>
        <w:t>%,</w:t>
      </w:r>
      <w:r>
        <w:rPr>
          <w:i/>
        </w:rPr>
        <w:t xml:space="preserve"> </w:t>
      </w:r>
      <w:r w:rsidRPr="00FB4CAF">
        <w:rPr>
          <w:i/>
          <w:iCs/>
        </w:rPr>
        <w:t>доходы от продажи материальных и нематериальных активов</w:t>
      </w:r>
      <w:r w:rsidR="0071405C">
        <w:rPr>
          <w:i/>
          <w:iCs/>
        </w:rPr>
        <w:t xml:space="preserve"> </w:t>
      </w:r>
      <w:r w:rsidRPr="00FB4CAF">
        <w:rPr>
          <w:i/>
        </w:rPr>
        <w:t>–</w:t>
      </w:r>
      <w:r w:rsidR="0071405C">
        <w:rPr>
          <w:i/>
        </w:rPr>
        <w:t xml:space="preserve"> 7,7</w:t>
      </w:r>
      <w:r>
        <w:rPr>
          <w:i/>
        </w:rPr>
        <w:t>%</w:t>
      </w:r>
      <w:r w:rsidR="0071405C">
        <w:rPr>
          <w:i/>
        </w:rPr>
        <w:t>, штрафы – 0,008%</w:t>
      </w:r>
      <w:r>
        <w:rPr>
          <w:i/>
        </w:rPr>
        <w:t xml:space="preserve">. </w:t>
      </w:r>
      <w:r w:rsidRPr="00FB4CAF">
        <w:rPr>
          <w:i/>
        </w:rPr>
        <w:t xml:space="preserve"> </w:t>
      </w:r>
    </w:p>
    <w:p w:rsidR="00CC3A46" w:rsidRDefault="00CC3A46" w:rsidP="002B1E3E">
      <w:pPr>
        <w:spacing w:line="276" w:lineRule="auto"/>
        <w:ind w:firstLine="567"/>
        <w:jc w:val="both"/>
      </w:pPr>
    </w:p>
    <w:p w:rsidR="00090D08" w:rsidRPr="007C65C5" w:rsidRDefault="00E645F8" w:rsidP="00E645F8">
      <w:pPr>
        <w:jc w:val="center"/>
        <w:rPr>
          <w:b/>
          <w:i/>
        </w:rPr>
      </w:pPr>
      <w:r w:rsidRPr="007C65C5">
        <w:rPr>
          <w:b/>
          <w:i/>
        </w:rPr>
        <w:t>Налоговые доходы</w:t>
      </w:r>
    </w:p>
    <w:p w:rsidR="0066162E" w:rsidRPr="002B1E3E" w:rsidRDefault="0066162E" w:rsidP="00E645F8">
      <w:pPr>
        <w:jc w:val="center"/>
        <w:rPr>
          <w:b/>
          <w:i/>
          <w:sz w:val="16"/>
          <w:szCs w:val="16"/>
        </w:rPr>
      </w:pPr>
    </w:p>
    <w:p w:rsidR="0066162E" w:rsidRPr="007C65C5" w:rsidRDefault="0066162E" w:rsidP="002B1E3E">
      <w:pPr>
        <w:widowControl w:val="0"/>
        <w:spacing w:line="276" w:lineRule="auto"/>
        <w:ind w:firstLine="567"/>
        <w:jc w:val="both"/>
        <w:rPr>
          <w:szCs w:val="20"/>
        </w:rPr>
      </w:pPr>
      <w:r w:rsidRPr="007C65C5">
        <w:rPr>
          <w:szCs w:val="20"/>
        </w:rPr>
        <w:t>Сумма налоговых доходов в утвержденных бюджетных назначениях на 20</w:t>
      </w:r>
      <w:r w:rsidR="00730E17" w:rsidRPr="007C65C5">
        <w:rPr>
          <w:szCs w:val="20"/>
        </w:rPr>
        <w:t>2</w:t>
      </w:r>
      <w:r w:rsidR="00060FE7">
        <w:rPr>
          <w:szCs w:val="20"/>
        </w:rPr>
        <w:t>4</w:t>
      </w:r>
      <w:r w:rsidRPr="007C65C5">
        <w:rPr>
          <w:szCs w:val="20"/>
        </w:rPr>
        <w:t xml:space="preserve"> год составляет </w:t>
      </w:r>
      <w:r w:rsidR="00060FE7">
        <w:rPr>
          <w:szCs w:val="20"/>
        </w:rPr>
        <w:t>52 396 000,00</w:t>
      </w:r>
      <w:r w:rsidR="00556FDC" w:rsidRPr="007C65C5">
        <w:rPr>
          <w:szCs w:val="20"/>
        </w:rPr>
        <w:t xml:space="preserve"> </w:t>
      </w:r>
      <w:r w:rsidRPr="007C65C5">
        <w:rPr>
          <w:szCs w:val="20"/>
        </w:rPr>
        <w:t xml:space="preserve">рублей. Фактическое поступление за 1 </w:t>
      </w:r>
      <w:r w:rsidR="0035455D">
        <w:rPr>
          <w:szCs w:val="20"/>
        </w:rPr>
        <w:t>полугодие</w:t>
      </w:r>
      <w:r w:rsidRPr="007C65C5">
        <w:rPr>
          <w:szCs w:val="20"/>
        </w:rPr>
        <w:t xml:space="preserve"> 20</w:t>
      </w:r>
      <w:r w:rsidR="00730E17" w:rsidRPr="007C65C5">
        <w:rPr>
          <w:szCs w:val="20"/>
        </w:rPr>
        <w:t>2</w:t>
      </w:r>
      <w:r w:rsidR="00060FE7">
        <w:rPr>
          <w:szCs w:val="20"/>
        </w:rPr>
        <w:t>4</w:t>
      </w:r>
      <w:r w:rsidRPr="007C65C5">
        <w:rPr>
          <w:szCs w:val="20"/>
        </w:rPr>
        <w:t xml:space="preserve"> года составило </w:t>
      </w:r>
      <w:r w:rsidR="00060FE7">
        <w:rPr>
          <w:szCs w:val="20"/>
        </w:rPr>
        <w:t>45,5</w:t>
      </w:r>
      <w:r w:rsidRPr="007C65C5">
        <w:rPr>
          <w:szCs w:val="20"/>
        </w:rPr>
        <w:t xml:space="preserve">% или </w:t>
      </w:r>
      <w:r w:rsidR="00060FE7">
        <w:rPr>
          <w:szCs w:val="20"/>
        </w:rPr>
        <w:t xml:space="preserve">23 828 325,46 </w:t>
      </w:r>
      <w:r w:rsidRPr="007C65C5">
        <w:rPr>
          <w:szCs w:val="20"/>
        </w:rPr>
        <w:t>р</w:t>
      </w:r>
      <w:r w:rsidR="0018750F" w:rsidRPr="007C65C5">
        <w:rPr>
          <w:szCs w:val="20"/>
        </w:rPr>
        <w:t>ублей, за аналогичный период 202</w:t>
      </w:r>
      <w:r w:rsidR="009102CB">
        <w:rPr>
          <w:szCs w:val="20"/>
        </w:rPr>
        <w:t>2</w:t>
      </w:r>
      <w:r w:rsidRPr="007C65C5">
        <w:rPr>
          <w:szCs w:val="20"/>
        </w:rPr>
        <w:t xml:space="preserve"> года поступление составляло </w:t>
      </w:r>
      <w:r w:rsidR="00060FE7">
        <w:rPr>
          <w:szCs w:val="20"/>
        </w:rPr>
        <w:t xml:space="preserve">20 312 171,98 </w:t>
      </w:r>
      <w:r w:rsidRPr="007C65C5">
        <w:rPr>
          <w:szCs w:val="20"/>
        </w:rPr>
        <w:t>руб</w:t>
      </w:r>
      <w:r w:rsidR="00C3675D" w:rsidRPr="007C65C5">
        <w:rPr>
          <w:szCs w:val="20"/>
        </w:rPr>
        <w:t>лей</w:t>
      </w:r>
      <w:r w:rsidRPr="007C65C5">
        <w:rPr>
          <w:szCs w:val="20"/>
        </w:rPr>
        <w:t>.</w:t>
      </w:r>
    </w:p>
    <w:p w:rsidR="005A003D" w:rsidRPr="007C65C5" w:rsidRDefault="00730E17" w:rsidP="002B1E3E">
      <w:pPr>
        <w:widowControl w:val="0"/>
        <w:spacing w:line="276" w:lineRule="auto"/>
        <w:ind w:firstLine="567"/>
        <w:jc w:val="both"/>
        <w:rPr>
          <w:szCs w:val="20"/>
        </w:rPr>
      </w:pPr>
      <w:r w:rsidRPr="007C65C5">
        <w:rPr>
          <w:szCs w:val="20"/>
        </w:rPr>
        <w:t>По состоянию на 01.0</w:t>
      </w:r>
      <w:r w:rsidR="0035455D">
        <w:rPr>
          <w:szCs w:val="20"/>
        </w:rPr>
        <w:t>7</w:t>
      </w:r>
      <w:r w:rsidRPr="007C65C5">
        <w:rPr>
          <w:szCs w:val="20"/>
        </w:rPr>
        <w:t>.202</w:t>
      </w:r>
      <w:r w:rsidR="00060FE7">
        <w:rPr>
          <w:szCs w:val="20"/>
        </w:rPr>
        <w:t>4</w:t>
      </w:r>
      <w:r w:rsidR="0066162E" w:rsidRPr="007C65C5">
        <w:rPr>
          <w:szCs w:val="20"/>
        </w:rPr>
        <w:t xml:space="preserve">г. годовые бюджетные назначения по </w:t>
      </w:r>
      <w:r w:rsidR="0066162E" w:rsidRPr="007C65C5">
        <w:rPr>
          <w:b/>
          <w:i/>
          <w:szCs w:val="20"/>
        </w:rPr>
        <w:t>налогу на доходы физических лиц</w:t>
      </w:r>
      <w:r w:rsidR="0066162E" w:rsidRPr="007C65C5">
        <w:rPr>
          <w:i/>
          <w:szCs w:val="20"/>
        </w:rPr>
        <w:t xml:space="preserve"> </w:t>
      </w:r>
      <w:r w:rsidR="0066162E" w:rsidRPr="007C65C5">
        <w:rPr>
          <w:szCs w:val="20"/>
        </w:rPr>
        <w:t>(</w:t>
      </w:r>
      <w:r w:rsidR="00060FE7">
        <w:rPr>
          <w:szCs w:val="20"/>
        </w:rPr>
        <w:t>26 891 000,00</w:t>
      </w:r>
      <w:r w:rsidR="0066162E" w:rsidRPr="007C65C5">
        <w:rPr>
          <w:szCs w:val="20"/>
        </w:rPr>
        <w:t xml:space="preserve"> рублей) исполнены на </w:t>
      </w:r>
      <w:r w:rsidR="00060FE7">
        <w:rPr>
          <w:szCs w:val="20"/>
        </w:rPr>
        <w:t>47,2</w:t>
      </w:r>
      <w:r w:rsidR="0066162E" w:rsidRPr="007C65C5">
        <w:rPr>
          <w:szCs w:val="20"/>
        </w:rPr>
        <w:t xml:space="preserve">%, или в размере </w:t>
      </w:r>
      <w:r w:rsidR="00060FE7">
        <w:rPr>
          <w:szCs w:val="20"/>
        </w:rPr>
        <w:t>12 687 630,54</w:t>
      </w:r>
      <w:r w:rsidR="0066162E" w:rsidRPr="007C65C5">
        <w:rPr>
          <w:szCs w:val="20"/>
        </w:rPr>
        <w:t xml:space="preserve"> рублей.</w:t>
      </w:r>
      <w:r w:rsidR="005A003D" w:rsidRPr="007C65C5">
        <w:rPr>
          <w:szCs w:val="20"/>
        </w:rPr>
        <w:t xml:space="preserve"> </w:t>
      </w:r>
      <w:r w:rsidR="0066162E" w:rsidRPr="007C65C5">
        <w:rPr>
          <w:szCs w:val="20"/>
        </w:rPr>
        <w:t>Сумма поступлений за аналогичный период 20</w:t>
      </w:r>
      <w:r w:rsidR="00F91ED0">
        <w:rPr>
          <w:szCs w:val="20"/>
        </w:rPr>
        <w:t>2</w:t>
      </w:r>
      <w:r w:rsidR="00060FE7">
        <w:rPr>
          <w:szCs w:val="20"/>
        </w:rPr>
        <w:t>3</w:t>
      </w:r>
      <w:r w:rsidR="0066162E" w:rsidRPr="007C65C5">
        <w:rPr>
          <w:szCs w:val="20"/>
        </w:rPr>
        <w:t xml:space="preserve"> года </w:t>
      </w:r>
      <w:r w:rsidR="0066162E" w:rsidRPr="007C65C5">
        <w:rPr>
          <w:szCs w:val="20"/>
        </w:rPr>
        <w:lastRenderedPageBreak/>
        <w:t xml:space="preserve">составила </w:t>
      </w:r>
      <w:r w:rsidR="00060FE7">
        <w:rPr>
          <w:szCs w:val="20"/>
        </w:rPr>
        <w:t>10 416 138,52</w:t>
      </w:r>
      <w:r w:rsidR="00060FE7" w:rsidRPr="007C65C5">
        <w:rPr>
          <w:szCs w:val="20"/>
        </w:rPr>
        <w:t xml:space="preserve"> </w:t>
      </w:r>
      <w:r w:rsidR="0066162E" w:rsidRPr="007C65C5">
        <w:rPr>
          <w:szCs w:val="20"/>
        </w:rPr>
        <w:t xml:space="preserve">рублей, что </w:t>
      </w:r>
      <w:r w:rsidR="00060FE7">
        <w:rPr>
          <w:szCs w:val="20"/>
        </w:rPr>
        <w:t>меньше</w:t>
      </w:r>
      <w:r w:rsidR="0066162E" w:rsidRPr="007C65C5">
        <w:rPr>
          <w:szCs w:val="20"/>
        </w:rPr>
        <w:t xml:space="preserve"> суммы поступлений за 1 </w:t>
      </w:r>
      <w:r w:rsidR="003D540B">
        <w:rPr>
          <w:szCs w:val="20"/>
        </w:rPr>
        <w:t>полугодие</w:t>
      </w:r>
      <w:r w:rsidR="0066162E" w:rsidRPr="007C65C5">
        <w:rPr>
          <w:szCs w:val="20"/>
        </w:rPr>
        <w:t xml:space="preserve"> 20</w:t>
      </w:r>
      <w:r w:rsidR="00F91ED0">
        <w:rPr>
          <w:szCs w:val="20"/>
        </w:rPr>
        <w:t>2</w:t>
      </w:r>
      <w:r w:rsidR="00060FE7">
        <w:rPr>
          <w:szCs w:val="20"/>
        </w:rPr>
        <w:t>4</w:t>
      </w:r>
      <w:r w:rsidR="0066162E" w:rsidRPr="007C65C5">
        <w:rPr>
          <w:szCs w:val="20"/>
        </w:rPr>
        <w:t xml:space="preserve"> года на </w:t>
      </w:r>
      <w:r w:rsidR="00060FE7">
        <w:rPr>
          <w:szCs w:val="20"/>
        </w:rPr>
        <w:t>17,9</w:t>
      </w:r>
      <w:r w:rsidR="00F91ED0">
        <w:rPr>
          <w:szCs w:val="20"/>
        </w:rPr>
        <w:t xml:space="preserve">% или на </w:t>
      </w:r>
      <w:r w:rsidR="00060FE7">
        <w:rPr>
          <w:szCs w:val="20"/>
        </w:rPr>
        <w:t>2 271 492,02</w:t>
      </w:r>
      <w:r w:rsidR="003D540B">
        <w:rPr>
          <w:szCs w:val="20"/>
        </w:rPr>
        <w:t xml:space="preserve"> </w:t>
      </w:r>
      <w:r w:rsidR="00F91ED0">
        <w:rPr>
          <w:szCs w:val="20"/>
        </w:rPr>
        <w:t>рублей.</w:t>
      </w:r>
      <w:r w:rsidR="0066162E" w:rsidRPr="007C65C5">
        <w:rPr>
          <w:szCs w:val="20"/>
        </w:rPr>
        <w:t xml:space="preserve">  </w:t>
      </w:r>
    </w:p>
    <w:p w:rsidR="00880F18" w:rsidRPr="00472D01" w:rsidRDefault="005A003D" w:rsidP="002B1E3E">
      <w:pPr>
        <w:widowControl w:val="0"/>
        <w:spacing w:line="276" w:lineRule="auto"/>
        <w:ind w:firstLine="567"/>
        <w:jc w:val="both"/>
      </w:pPr>
      <w:r w:rsidRPr="007C65C5">
        <w:t xml:space="preserve">Поступления по </w:t>
      </w:r>
      <w:r w:rsidRPr="007C65C5">
        <w:rPr>
          <w:b/>
          <w:i/>
        </w:rPr>
        <w:t xml:space="preserve">налогам на товары (работы, услуги), реализуемые на территории Российской Федерации </w:t>
      </w:r>
      <w:r w:rsidRPr="007C65C5">
        <w:t xml:space="preserve">составили </w:t>
      </w:r>
      <w:r w:rsidR="00060FE7">
        <w:t>5 761 339,94</w:t>
      </w:r>
      <w:r w:rsidRPr="007C65C5">
        <w:t xml:space="preserve"> рублей, или </w:t>
      </w:r>
      <w:r w:rsidR="00060FE7">
        <w:t>48,1</w:t>
      </w:r>
      <w:r w:rsidRPr="007C65C5">
        <w:t>% от</w:t>
      </w:r>
      <w:r w:rsidRPr="00472D01">
        <w:t xml:space="preserve"> утвержденных назначений (</w:t>
      </w:r>
      <w:r w:rsidR="00060FE7">
        <w:t>11 975 000,00</w:t>
      </w:r>
      <w:r w:rsidRPr="00472D01">
        <w:t xml:space="preserve"> рублей). </w:t>
      </w:r>
      <w:r w:rsidR="00880F18" w:rsidRPr="00472D01">
        <w:t xml:space="preserve">Поступления </w:t>
      </w:r>
      <w:r w:rsidR="00EA0BF4">
        <w:t xml:space="preserve">увеличились </w:t>
      </w:r>
      <w:r w:rsidR="00880F18" w:rsidRPr="00472D01">
        <w:t xml:space="preserve">по сравнению с аналогичным периодом прошлого года на </w:t>
      </w:r>
      <w:r w:rsidR="00060FE7">
        <w:t>3,4</w:t>
      </w:r>
      <w:r w:rsidR="00880F18" w:rsidRPr="00472D01">
        <w:t>%</w:t>
      </w:r>
      <w:r w:rsidR="00F91ED0">
        <w:t xml:space="preserve"> или на </w:t>
      </w:r>
      <w:r w:rsidR="00060FE7">
        <w:t>187 968,74</w:t>
      </w:r>
      <w:r w:rsidR="00F91ED0">
        <w:t xml:space="preserve"> рублей</w:t>
      </w:r>
      <w:r w:rsidR="00880F18" w:rsidRPr="00472D01">
        <w:t>.</w:t>
      </w:r>
    </w:p>
    <w:p w:rsidR="0066162E" w:rsidRPr="00472D01" w:rsidRDefault="0066162E" w:rsidP="002B1E3E">
      <w:pPr>
        <w:widowControl w:val="0"/>
        <w:spacing w:line="276" w:lineRule="auto"/>
        <w:ind w:firstLine="567"/>
        <w:jc w:val="both"/>
      </w:pPr>
      <w:r w:rsidRPr="00472D01">
        <w:t xml:space="preserve">Поступления по </w:t>
      </w:r>
      <w:r w:rsidRPr="007B14E5">
        <w:rPr>
          <w:b/>
          <w:i/>
        </w:rPr>
        <w:t>налогам на совокупный доход</w:t>
      </w:r>
      <w:r w:rsidRPr="00472D01">
        <w:t xml:space="preserve"> составили </w:t>
      </w:r>
      <w:r w:rsidR="00060FE7">
        <w:t>2 419 556,90</w:t>
      </w:r>
      <w:r w:rsidRPr="00472D01">
        <w:t xml:space="preserve"> рублей, или </w:t>
      </w:r>
      <w:r w:rsidR="00060FE7">
        <w:t>59,0</w:t>
      </w:r>
      <w:r w:rsidRPr="00472D01">
        <w:t>% от утвержденных назначений</w:t>
      </w:r>
      <w:r w:rsidR="00880F18" w:rsidRPr="00472D01">
        <w:t xml:space="preserve"> (</w:t>
      </w:r>
      <w:r w:rsidR="00060FE7">
        <w:t>4 103 000,00</w:t>
      </w:r>
      <w:r w:rsidR="00880F18" w:rsidRPr="00472D01">
        <w:t xml:space="preserve"> рублей)</w:t>
      </w:r>
      <w:r w:rsidRPr="00472D01">
        <w:t>. Поступления</w:t>
      </w:r>
      <w:r w:rsidR="0062042A" w:rsidRPr="00472D01">
        <w:t xml:space="preserve"> у</w:t>
      </w:r>
      <w:r w:rsidR="005C763B">
        <w:t xml:space="preserve">меньшились </w:t>
      </w:r>
      <w:r w:rsidR="0062042A" w:rsidRPr="00472D01">
        <w:t xml:space="preserve">по сравнению с </w:t>
      </w:r>
      <w:r w:rsidRPr="00472D01">
        <w:t>аналогичн</w:t>
      </w:r>
      <w:r w:rsidR="0062042A" w:rsidRPr="00472D01">
        <w:t>ым</w:t>
      </w:r>
      <w:r w:rsidRPr="00472D01">
        <w:t xml:space="preserve"> период</w:t>
      </w:r>
      <w:r w:rsidR="0062042A" w:rsidRPr="00472D01">
        <w:t>ом</w:t>
      </w:r>
      <w:r w:rsidRPr="00472D01">
        <w:t xml:space="preserve"> прошлого года на </w:t>
      </w:r>
      <w:r w:rsidR="00060FE7">
        <w:t>14 163,19</w:t>
      </w:r>
      <w:r w:rsidR="005A003D" w:rsidRPr="00472D01">
        <w:t xml:space="preserve"> рублей или на </w:t>
      </w:r>
      <w:r w:rsidR="005C763B">
        <w:t>0,6</w:t>
      </w:r>
      <w:r w:rsidRPr="00472D01">
        <w:t>%</w:t>
      </w:r>
      <w:r w:rsidR="005A003D" w:rsidRPr="00472D01">
        <w:t>.</w:t>
      </w:r>
    </w:p>
    <w:p w:rsidR="005A003D" w:rsidRDefault="009B5273" w:rsidP="009B5273">
      <w:pPr>
        <w:tabs>
          <w:tab w:val="left" w:pos="567"/>
        </w:tabs>
        <w:spacing w:line="276" w:lineRule="auto"/>
        <w:jc w:val="both"/>
      </w:pPr>
      <w:r>
        <w:t xml:space="preserve">       </w:t>
      </w:r>
      <w:r w:rsidR="005A003D" w:rsidRPr="00472D01">
        <w:t xml:space="preserve">Исполнение бюджетных назначений по </w:t>
      </w:r>
      <w:r w:rsidR="005A003D" w:rsidRPr="007B14E5">
        <w:rPr>
          <w:b/>
          <w:i/>
        </w:rPr>
        <w:t>налог</w:t>
      </w:r>
      <w:r w:rsidR="00E673A2" w:rsidRPr="007B14E5">
        <w:rPr>
          <w:b/>
          <w:i/>
        </w:rPr>
        <w:t>ам на имущество</w:t>
      </w:r>
      <w:r w:rsidR="00E673A2" w:rsidRPr="00472D01">
        <w:t xml:space="preserve"> </w:t>
      </w:r>
      <w:r w:rsidR="005A003D" w:rsidRPr="00472D01">
        <w:t xml:space="preserve">составило </w:t>
      </w:r>
      <w:r w:rsidR="005C763B">
        <w:t>2 958 550,08</w:t>
      </w:r>
      <w:r w:rsidR="0056758A">
        <w:t xml:space="preserve"> </w:t>
      </w:r>
      <w:r w:rsidR="005A003D" w:rsidRPr="00472D01">
        <w:t xml:space="preserve">рублей или </w:t>
      </w:r>
      <w:r w:rsidR="005C763B">
        <w:t>31,4</w:t>
      </w:r>
      <w:r w:rsidR="00E673A2" w:rsidRPr="00472D01">
        <w:t xml:space="preserve">% </w:t>
      </w:r>
      <w:r w:rsidR="005A003D" w:rsidRPr="00472D01">
        <w:t>от годового объема плановых назначений</w:t>
      </w:r>
      <w:r w:rsidR="00B0590E">
        <w:t xml:space="preserve"> </w:t>
      </w:r>
      <w:r w:rsidR="00E673A2" w:rsidRPr="00472D01">
        <w:t>(</w:t>
      </w:r>
      <w:r w:rsidR="005C763B">
        <w:t xml:space="preserve">9 424 000,00 </w:t>
      </w:r>
      <w:r w:rsidR="00E673A2" w:rsidRPr="00472D01">
        <w:t xml:space="preserve">рублей). </w:t>
      </w:r>
      <w:r w:rsidR="005A003D" w:rsidRPr="00472D01">
        <w:t>По сравнению с аналогичным периодом 20</w:t>
      </w:r>
      <w:r w:rsidR="00EA0BF4">
        <w:t>2</w:t>
      </w:r>
      <w:r w:rsidR="005C763B">
        <w:t>3</w:t>
      </w:r>
      <w:r w:rsidR="005A003D" w:rsidRPr="00472D01">
        <w:t xml:space="preserve"> года</w:t>
      </w:r>
      <w:r w:rsidR="0056758A">
        <w:t xml:space="preserve"> (</w:t>
      </w:r>
      <w:r w:rsidR="005C763B">
        <w:t xml:space="preserve">1 885 522,17 </w:t>
      </w:r>
      <w:r w:rsidR="0056758A">
        <w:t xml:space="preserve">рублей) </w:t>
      </w:r>
      <w:r w:rsidR="005A003D" w:rsidRPr="00472D01">
        <w:t xml:space="preserve"> налог </w:t>
      </w:r>
      <w:r w:rsidR="00E54CDC" w:rsidRPr="00472D01">
        <w:t>у</w:t>
      </w:r>
      <w:r w:rsidR="005C763B">
        <w:t>велич</w:t>
      </w:r>
      <w:r w:rsidR="00EA0BF4">
        <w:t xml:space="preserve">ился </w:t>
      </w:r>
      <w:r w:rsidR="005A003D" w:rsidRPr="00472D01">
        <w:t xml:space="preserve">на </w:t>
      </w:r>
      <w:r w:rsidR="00B0590E">
        <w:t>1</w:t>
      </w:r>
      <w:r w:rsidR="005C763B">
        <w:t> 073 027,91</w:t>
      </w:r>
      <w:r w:rsidR="005A003D" w:rsidRPr="00472D01">
        <w:t xml:space="preserve"> рубл</w:t>
      </w:r>
      <w:r w:rsidR="0056758A">
        <w:t>я</w:t>
      </w:r>
      <w:r w:rsidR="005A003D" w:rsidRPr="00472D01">
        <w:t xml:space="preserve"> или на </w:t>
      </w:r>
      <w:r w:rsidR="005C763B">
        <w:t>56,9</w:t>
      </w:r>
      <w:r w:rsidR="005A003D" w:rsidRPr="00472D01">
        <w:t>%.</w:t>
      </w:r>
    </w:p>
    <w:p w:rsidR="00FF679A" w:rsidRDefault="00FF679A" w:rsidP="009B5273">
      <w:pPr>
        <w:widowControl w:val="0"/>
        <w:spacing w:line="276" w:lineRule="auto"/>
        <w:ind w:firstLine="567"/>
        <w:jc w:val="both"/>
      </w:pPr>
      <w:r w:rsidRPr="00F86860">
        <w:t xml:space="preserve">Поступления </w:t>
      </w:r>
      <w:r w:rsidR="00B0590E">
        <w:t xml:space="preserve">от </w:t>
      </w:r>
      <w:r w:rsidRPr="00F86860">
        <w:t>государственной пошлин</w:t>
      </w:r>
      <w:r>
        <w:t xml:space="preserve">ы за 1 </w:t>
      </w:r>
      <w:r w:rsidR="009B5273">
        <w:t>полугодие</w:t>
      </w:r>
      <w:r>
        <w:t xml:space="preserve"> </w:t>
      </w:r>
      <w:r w:rsidRPr="00F86860">
        <w:t>20</w:t>
      </w:r>
      <w:r>
        <w:t>2</w:t>
      </w:r>
      <w:r w:rsidR="005C763B">
        <w:t>4</w:t>
      </w:r>
      <w:r w:rsidRPr="00F86860">
        <w:t xml:space="preserve"> года составили  </w:t>
      </w:r>
      <w:r w:rsidR="005C763B">
        <w:t>1 248,00</w:t>
      </w:r>
      <w:r w:rsidRPr="00F86860">
        <w:t xml:space="preserve"> рублей  </w:t>
      </w:r>
      <w:r w:rsidR="0056758A">
        <w:t xml:space="preserve">или </w:t>
      </w:r>
      <w:r w:rsidR="005C763B">
        <w:t>41,6</w:t>
      </w:r>
      <w:r w:rsidR="00EA0BF4">
        <w:t>% от пл</w:t>
      </w:r>
      <w:r w:rsidRPr="00F86860">
        <w:t>ановых назначений</w:t>
      </w:r>
      <w:r w:rsidR="00EA0BF4">
        <w:t xml:space="preserve"> в размере (</w:t>
      </w:r>
      <w:r w:rsidR="00B0590E">
        <w:t>3</w:t>
      </w:r>
      <w:r w:rsidR="0056758A">
        <w:t xml:space="preserve"> 0</w:t>
      </w:r>
      <w:r w:rsidR="00EA0BF4">
        <w:t>00,00 рублей)</w:t>
      </w:r>
      <w:r w:rsidR="009B5273">
        <w:t xml:space="preserve">. </w:t>
      </w:r>
      <w:r w:rsidR="009B5273" w:rsidRPr="00472D01">
        <w:t xml:space="preserve">Поступления </w:t>
      </w:r>
      <w:r w:rsidR="005C763B">
        <w:t xml:space="preserve">уменьшились </w:t>
      </w:r>
      <w:r w:rsidR="009B5273" w:rsidRPr="00472D01">
        <w:t xml:space="preserve">по сравнению с аналогичным периодом прошлого года на </w:t>
      </w:r>
      <w:r w:rsidR="005C763B">
        <w:t>2 172,00</w:t>
      </w:r>
      <w:r w:rsidR="009B5273" w:rsidRPr="00472D01">
        <w:t xml:space="preserve"> рублей или на </w:t>
      </w:r>
      <w:r w:rsidR="005C763B">
        <w:t>63,5</w:t>
      </w:r>
      <w:r w:rsidR="009B5273" w:rsidRPr="00472D01">
        <w:t>%.</w:t>
      </w:r>
      <w:r w:rsidR="009B5273">
        <w:t xml:space="preserve"> </w:t>
      </w:r>
    </w:p>
    <w:p w:rsidR="009B5273" w:rsidRPr="00C86548" w:rsidRDefault="009B5273" w:rsidP="009B5273">
      <w:pPr>
        <w:widowControl w:val="0"/>
        <w:spacing w:line="276" w:lineRule="auto"/>
        <w:ind w:firstLine="567"/>
        <w:jc w:val="both"/>
        <w:rPr>
          <w:sz w:val="16"/>
          <w:szCs w:val="16"/>
        </w:rPr>
      </w:pPr>
    </w:p>
    <w:p w:rsidR="005A003D" w:rsidRPr="00472D01" w:rsidRDefault="005A003D" w:rsidP="002B1E3E">
      <w:pPr>
        <w:widowControl w:val="0"/>
        <w:spacing w:line="276" w:lineRule="auto"/>
        <w:ind w:firstLine="567"/>
        <w:jc w:val="both"/>
        <w:rPr>
          <w:sz w:val="16"/>
          <w:szCs w:val="16"/>
        </w:rPr>
      </w:pPr>
    </w:p>
    <w:p w:rsidR="00E673A2" w:rsidRPr="00221939" w:rsidRDefault="00F4402F" w:rsidP="005658E1">
      <w:pPr>
        <w:tabs>
          <w:tab w:val="left" w:pos="567"/>
        </w:tabs>
        <w:spacing w:line="276" w:lineRule="auto"/>
        <w:jc w:val="center"/>
        <w:rPr>
          <w:b/>
          <w:bCs/>
          <w:i/>
          <w:iCs/>
        </w:rPr>
      </w:pPr>
      <w:r w:rsidRPr="00221939">
        <w:rPr>
          <w:b/>
          <w:bCs/>
          <w:i/>
          <w:iCs/>
        </w:rPr>
        <w:t>Неналоговые доходы</w:t>
      </w:r>
    </w:p>
    <w:p w:rsidR="00E673A2" w:rsidRPr="00221939" w:rsidRDefault="00E673A2" w:rsidP="00E673A2">
      <w:pPr>
        <w:widowControl w:val="0"/>
        <w:ind w:firstLine="567"/>
        <w:jc w:val="center"/>
        <w:rPr>
          <w:sz w:val="16"/>
          <w:szCs w:val="16"/>
        </w:rPr>
      </w:pPr>
    </w:p>
    <w:p w:rsidR="006C30A9" w:rsidRPr="00221939" w:rsidRDefault="002C0348" w:rsidP="00D86BFF">
      <w:pPr>
        <w:tabs>
          <w:tab w:val="left" w:pos="567"/>
        </w:tabs>
        <w:spacing w:line="276" w:lineRule="auto"/>
        <w:jc w:val="both"/>
      </w:pPr>
      <w:r w:rsidRPr="00221939">
        <w:t xml:space="preserve">        </w:t>
      </w:r>
      <w:r w:rsidR="00E673A2" w:rsidRPr="00221939">
        <w:t>По состоянию на 01.0</w:t>
      </w:r>
      <w:r w:rsidR="00E13E1A" w:rsidRPr="00221939">
        <w:t>7</w:t>
      </w:r>
      <w:r w:rsidR="00E673A2" w:rsidRPr="00221939">
        <w:t>.20</w:t>
      </w:r>
      <w:r w:rsidR="00C108C3" w:rsidRPr="00221939">
        <w:t>2</w:t>
      </w:r>
      <w:r w:rsidR="005C763B">
        <w:t>4</w:t>
      </w:r>
      <w:r w:rsidR="00E673A2" w:rsidRPr="00221939">
        <w:t xml:space="preserve">г. неналоговые доходы сложились в размере </w:t>
      </w:r>
      <w:r w:rsidR="005C763B">
        <w:t>2 082 398,01</w:t>
      </w:r>
      <w:r w:rsidR="00E13E1A" w:rsidRPr="00221939">
        <w:t xml:space="preserve"> </w:t>
      </w:r>
      <w:r w:rsidR="00E673A2" w:rsidRPr="00221939">
        <w:t>рублей</w:t>
      </w:r>
      <w:r w:rsidR="00991894" w:rsidRPr="00221939">
        <w:t xml:space="preserve"> или </w:t>
      </w:r>
      <w:r w:rsidR="005C763B">
        <w:t>5206,0</w:t>
      </w:r>
      <w:r w:rsidR="00991894" w:rsidRPr="00221939">
        <w:t>% от утвержденных бюджетных назначений</w:t>
      </w:r>
      <w:r w:rsidR="005C763B">
        <w:t xml:space="preserve">        </w:t>
      </w:r>
      <w:r w:rsidR="00991894" w:rsidRPr="00221939">
        <w:t xml:space="preserve"> (</w:t>
      </w:r>
      <w:r w:rsidR="005C763B">
        <w:t xml:space="preserve">40 </w:t>
      </w:r>
      <w:r w:rsidR="0056758A" w:rsidRPr="00221939">
        <w:t>000</w:t>
      </w:r>
      <w:r w:rsidR="00991894" w:rsidRPr="00221939">
        <w:t>,00 рублей)</w:t>
      </w:r>
      <w:r w:rsidR="00E54CDC" w:rsidRPr="00221939">
        <w:t xml:space="preserve">. </w:t>
      </w:r>
    </w:p>
    <w:p w:rsidR="00C04AD2" w:rsidRPr="00221939" w:rsidRDefault="00FD19E8" w:rsidP="00D86BFF">
      <w:pPr>
        <w:widowControl w:val="0"/>
        <w:tabs>
          <w:tab w:val="left" w:pos="567"/>
        </w:tabs>
        <w:spacing w:line="276" w:lineRule="auto"/>
        <w:jc w:val="both"/>
      </w:pPr>
      <w:r w:rsidRPr="00221939">
        <w:rPr>
          <w:b/>
        </w:rPr>
        <w:t xml:space="preserve">        </w:t>
      </w:r>
      <w:r w:rsidR="00007F24" w:rsidRPr="00221939">
        <w:rPr>
          <w:b/>
          <w:i/>
        </w:rPr>
        <w:t xml:space="preserve">Доходы от </w:t>
      </w:r>
      <w:r w:rsidR="0056758A" w:rsidRPr="00221939">
        <w:rPr>
          <w:b/>
          <w:i/>
        </w:rPr>
        <w:t xml:space="preserve">использования имущества, находящегося в государственной и муниципальной собственности </w:t>
      </w:r>
      <w:r w:rsidRPr="00221939">
        <w:t xml:space="preserve"> исполнены</w:t>
      </w:r>
      <w:r w:rsidR="009322CD">
        <w:t xml:space="preserve"> на </w:t>
      </w:r>
      <w:r w:rsidR="005C763B">
        <w:t>203,0</w:t>
      </w:r>
      <w:r w:rsidR="009322CD">
        <w:t xml:space="preserve">% или </w:t>
      </w:r>
      <w:r w:rsidR="005C763B">
        <w:t>81 189,01</w:t>
      </w:r>
      <w:r w:rsidRPr="00221939">
        <w:t xml:space="preserve"> рублей при запланированных бюджетных ассигнованиях (</w:t>
      </w:r>
      <w:r w:rsidR="005C763B">
        <w:t>4</w:t>
      </w:r>
      <w:r w:rsidR="002C58C4" w:rsidRPr="00221939">
        <w:t xml:space="preserve">0 </w:t>
      </w:r>
      <w:r w:rsidRPr="00221939">
        <w:t>000,00 рублей)</w:t>
      </w:r>
      <w:r w:rsidR="00C04AD2" w:rsidRPr="00221939">
        <w:t xml:space="preserve"> и в размере </w:t>
      </w:r>
      <w:r w:rsidR="009322CD">
        <w:t xml:space="preserve">    </w:t>
      </w:r>
      <w:r w:rsidR="005C763B">
        <w:t>4,0</w:t>
      </w:r>
      <w:r w:rsidR="00C04AD2" w:rsidRPr="00221939">
        <w:t>% от общей суммы поступивших неналоговых доходов</w:t>
      </w:r>
      <w:r w:rsidR="002C58C4" w:rsidRPr="00221939">
        <w:t>.</w:t>
      </w:r>
    </w:p>
    <w:p w:rsidR="00E13E1A" w:rsidRDefault="00E13E1A" w:rsidP="00D86BFF">
      <w:pPr>
        <w:widowControl w:val="0"/>
        <w:tabs>
          <w:tab w:val="left" w:pos="567"/>
        </w:tabs>
        <w:spacing w:line="276" w:lineRule="auto"/>
        <w:jc w:val="both"/>
      </w:pPr>
      <w:r w:rsidRPr="00221939">
        <w:rPr>
          <w:b/>
          <w:i/>
        </w:rPr>
        <w:t xml:space="preserve">        Доходы от </w:t>
      </w:r>
      <w:r w:rsidR="009322CD">
        <w:rPr>
          <w:b/>
          <w:i/>
        </w:rPr>
        <w:t xml:space="preserve">продажи материальных и нематериальных активов </w:t>
      </w:r>
      <w:r w:rsidR="009322CD" w:rsidRPr="009322CD">
        <w:t>исполне</w:t>
      </w:r>
      <w:r w:rsidRPr="00221939">
        <w:t xml:space="preserve">ны в сумме </w:t>
      </w:r>
      <w:r w:rsidR="005C763B">
        <w:t>1 999 209,00</w:t>
      </w:r>
      <w:r w:rsidRPr="00221939">
        <w:t xml:space="preserve"> рублей при отсутствии план</w:t>
      </w:r>
      <w:r w:rsidR="009322CD">
        <w:t xml:space="preserve">овых назначений </w:t>
      </w:r>
      <w:r w:rsidRPr="00221939">
        <w:t xml:space="preserve">и в размере </w:t>
      </w:r>
      <w:r w:rsidR="005C763B">
        <w:t>96,0</w:t>
      </w:r>
      <w:r w:rsidRPr="00221939">
        <w:t xml:space="preserve"> % от общей суммы поступивших неналоговых доходов.</w:t>
      </w:r>
    </w:p>
    <w:p w:rsidR="005C763B" w:rsidRDefault="005C763B" w:rsidP="00D86BFF">
      <w:pPr>
        <w:widowControl w:val="0"/>
        <w:tabs>
          <w:tab w:val="left" w:pos="567"/>
        </w:tabs>
        <w:spacing w:line="276" w:lineRule="auto"/>
        <w:jc w:val="both"/>
      </w:pPr>
      <w:r>
        <w:rPr>
          <w:b/>
          <w:i/>
        </w:rPr>
        <w:t xml:space="preserve">        Штрафы, санкции, возмещение ущерба </w:t>
      </w:r>
      <w:r w:rsidRPr="009322CD">
        <w:t>исполне</w:t>
      </w:r>
      <w:r w:rsidRPr="00221939">
        <w:t xml:space="preserve">ны в сумме </w:t>
      </w:r>
      <w:r w:rsidR="00657EE7">
        <w:t>2 000</w:t>
      </w:r>
      <w:r>
        <w:t>,00</w:t>
      </w:r>
      <w:r w:rsidRPr="00221939">
        <w:t xml:space="preserve"> рублей при отсутствии план</w:t>
      </w:r>
      <w:r>
        <w:t>овых назначений</w:t>
      </w:r>
      <w:r w:rsidR="00657EE7">
        <w:t xml:space="preserve">. </w:t>
      </w:r>
    </w:p>
    <w:p w:rsidR="005C763B" w:rsidRPr="00221939" w:rsidRDefault="005C763B" w:rsidP="005C763B">
      <w:pPr>
        <w:widowControl w:val="0"/>
        <w:tabs>
          <w:tab w:val="left" w:pos="567"/>
        </w:tabs>
        <w:spacing w:line="276" w:lineRule="auto"/>
        <w:jc w:val="both"/>
      </w:pPr>
    </w:p>
    <w:p w:rsidR="00007F24" w:rsidRPr="00221939" w:rsidRDefault="00007F24" w:rsidP="00007F24">
      <w:pPr>
        <w:tabs>
          <w:tab w:val="left" w:pos="567"/>
        </w:tabs>
        <w:jc w:val="both"/>
        <w:rPr>
          <w:sz w:val="16"/>
          <w:szCs w:val="16"/>
        </w:rPr>
      </w:pPr>
    </w:p>
    <w:p w:rsidR="00F4402F" w:rsidRPr="00221939" w:rsidRDefault="00F4402F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  <w:r w:rsidRPr="00221939">
        <w:rPr>
          <w:b/>
          <w:bCs/>
          <w:i/>
          <w:iCs/>
        </w:rPr>
        <w:t>Безвозмездные поступления</w:t>
      </w:r>
    </w:p>
    <w:p w:rsidR="004E3274" w:rsidRPr="00221939" w:rsidRDefault="004E3274" w:rsidP="00F01694">
      <w:pPr>
        <w:widowControl w:val="0"/>
        <w:overflowPunct/>
        <w:ind w:firstLine="709"/>
        <w:jc w:val="both"/>
        <w:rPr>
          <w:i/>
          <w:iCs/>
          <w:sz w:val="16"/>
          <w:szCs w:val="16"/>
        </w:rPr>
      </w:pPr>
    </w:p>
    <w:p w:rsidR="004B1622" w:rsidRPr="00D96FFE" w:rsidRDefault="007B14E5" w:rsidP="002B1E3E">
      <w:pPr>
        <w:widowControl w:val="0"/>
        <w:tabs>
          <w:tab w:val="left" w:pos="567"/>
        </w:tabs>
        <w:overflowPunct/>
        <w:spacing w:line="276" w:lineRule="auto"/>
        <w:jc w:val="both"/>
      </w:pPr>
      <w:r w:rsidRPr="00D96FFE">
        <w:rPr>
          <w:i/>
          <w:iCs/>
        </w:rPr>
        <w:t xml:space="preserve">        </w:t>
      </w:r>
      <w:r w:rsidR="00F01694" w:rsidRPr="00D96FFE">
        <w:rPr>
          <w:i/>
          <w:iCs/>
        </w:rPr>
        <w:t>Безвозмездные поступления</w:t>
      </w:r>
      <w:r w:rsidR="00F01694" w:rsidRPr="00D96FFE">
        <w:rPr>
          <w:b/>
          <w:i/>
          <w:iCs/>
        </w:rPr>
        <w:t xml:space="preserve"> </w:t>
      </w:r>
      <w:r w:rsidR="00F01694" w:rsidRPr="00D96FFE">
        <w:t>на 01.0</w:t>
      </w:r>
      <w:r w:rsidR="00992511" w:rsidRPr="00D96FFE">
        <w:t>7</w:t>
      </w:r>
      <w:r w:rsidR="00F01694" w:rsidRPr="00D96FFE">
        <w:t>.20</w:t>
      </w:r>
      <w:r w:rsidR="00991894" w:rsidRPr="00D96FFE">
        <w:t>2</w:t>
      </w:r>
      <w:r w:rsidR="00657EE7">
        <w:t>4</w:t>
      </w:r>
      <w:r w:rsidR="00F01694" w:rsidRPr="00D96FFE">
        <w:t xml:space="preserve"> года сложились в объеме</w:t>
      </w:r>
      <w:r w:rsidR="001F0115" w:rsidRPr="00D96FFE">
        <w:t xml:space="preserve"> </w:t>
      </w:r>
      <w:r w:rsidR="00657EE7">
        <w:t xml:space="preserve">34 343 250,00 </w:t>
      </w:r>
      <w:r w:rsidR="00F01694" w:rsidRPr="00D96FFE">
        <w:t xml:space="preserve">рублей, что составляет </w:t>
      </w:r>
      <w:r w:rsidR="00657EE7">
        <w:t>35,5</w:t>
      </w:r>
      <w:r w:rsidR="00F01694" w:rsidRPr="00D96FFE">
        <w:t>% от годового объема бюджетных назначений (</w:t>
      </w:r>
      <w:r w:rsidR="00657EE7">
        <w:t>96 751 795,00</w:t>
      </w:r>
      <w:r w:rsidR="00F01694" w:rsidRPr="00D96FFE">
        <w:t xml:space="preserve"> рублей). По сравнению с аналогичным периодом прошлого года (</w:t>
      </w:r>
      <w:r w:rsidR="00657EE7">
        <w:t>19 868 299,00</w:t>
      </w:r>
      <w:r w:rsidR="00657EE7" w:rsidRPr="00D96FFE">
        <w:t xml:space="preserve"> </w:t>
      </w:r>
      <w:r w:rsidR="00F01694" w:rsidRPr="00D96FFE">
        <w:t xml:space="preserve">рублей), данные поступления </w:t>
      </w:r>
      <w:r w:rsidR="00657EE7">
        <w:t>увеличились</w:t>
      </w:r>
      <w:r w:rsidR="00992511" w:rsidRPr="00D96FFE">
        <w:t xml:space="preserve"> </w:t>
      </w:r>
      <w:r w:rsidR="00F01694" w:rsidRPr="00D96FFE">
        <w:t xml:space="preserve">на </w:t>
      </w:r>
      <w:r w:rsidR="00657EE7">
        <w:t>14 474 951,00</w:t>
      </w:r>
      <w:r w:rsidR="009322CD">
        <w:t xml:space="preserve"> </w:t>
      </w:r>
      <w:r w:rsidR="00F01694" w:rsidRPr="00D96FFE">
        <w:t xml:space="preserve">рублей или на </w:t>
      </w:r>
      <w:r w:rsidR="00657EE7">
        <w:t>72,8</w:t>
      </w:r>
      <w:r w:rsidR="00F01694" w:rsidRPr="00D96FFE">
        <w:t>%</w:t>
      </w:r>
      <w:r w:rsidR="002C58C4" w:rsidRPr="00D96FFE">
        <w:t xml:space="preserve"> в том числе:</w:t>
      </w:r>
      <w:r w:rsidR="00991894" w:rsidRPr="00D96FFE">
        <w:t xml:space="preserve"> </w:t>
      </w:r>
    </w:p>
    <w:p w:rsidR="00C04AD2" w:rsidRPr="00D96FFE" w:rsidRDefault="00C04AD2" w:rsidP="002B1E3E">
      <w:pPr>
        <w:widowControl w:val="0"/>
        <w:overflowPunct/>
        <w:spacing w:line="276" w:lineRule="auto"/>
        <w:ind w:firstLine="540"/>
        <w:jc w:val="both"/>
      </w:pPr>
      <w:r w:rsidRPr="00D96FFE">
        <w:rPr>
          <w:b/>
          <w:i/>
          <w:iCs/>
        </w:rPr>
        <w:t>дот</w:t>
      </w:r>
      <w:r w:rsidR="00E864F7" w:rsidRPr="00D96FFE">
        <w:rPr>
          <w:b/>
          <w:i/>
          <w:iCs/>
        </w:rPr>
        <w:t>ации</w:t>
      </w:r>
      <w:r w:rsidRPr="00D96FFE">
        <w:rPr>
          <w:b/>
          <w:i/>
          <w:iCs/>
        </w:rPr>
        <w:t xml:space="preserve"> бюджетам </w:t>
      </w:r>
      <w:r w:rsidR="00E864F7" w:rsidRPr="00D96FFE">
        <w:rPr>
          <w:b/>
          <w:i/>
          <w:iCs/>
        </w:rPr>
        <w:t xml:space="preserve">бюджетной системы </w:t>
      </w:r>
      <w:r w:rsidRPr="00D96FFE">
        <w:rPr>
          <w:b/>
          <w:i/>
          <w:iCs/>
        </w:rPr>
        <w:t>Российской Федерации</w:t>
      </w:r>
      <w:r w:rsidRPr="00D96FFE">
        <w:rPr>
          <w:i/>
          <w:iCs/>
        </w:rPr>
        <w:t xml:space="preserve"> </w:t>
      </w:r>
      <w:r w:rsidR="00466213" w:rsidRPr="00D96FFE">
        <w:rPr>
          <w:iCs/>
        </w:rPr>
        <w:t xml:space="preserve">сложились </w:t>
      </w:r>
      <w:r w:rsidRPr="00D96FFE">
        <w:t xml:space="preserve">в размере </w:t>
      </w:r>
      <w:r w:rsidR="00657EE7">
        <w:t>22 055 000,00</w:t>
      </w:r>
      <w:r w:rsidR="00E864F7" w:rsidRPr="00D96FFE">
        <w:t xml:space="preserve"> рублей или </w:t>
      </w:r>
      <w:r w:rsidR="00657EE7">
        <w:t>49,9</w:t>
      </w:r>
      <w:r w:rsidRPr="00D96FFE">
        <w:t>% от годовых бюджетных назначений (</w:t>
      </w:r>
      <w:r w:rsidR="00657EE7">
        <w:t>44 217 000,00</w:t>
      </w:r>
      <w:r w:rsidRPr="00D96FFE">
        <w:t xml:space="preserve"> рублей);</w:t>
      </w:r>
    </w:p>
    <w:p w:rsidR="00E864F7" w:rsidRPr="00D96FFE" w:rsidRDefault="00C04AD2" w:rsidP="002B1E3E">
      <w:pPr>
        <w:spacing w:line="276" w:lineRule="auto"/>
        <w:jc w:val="both"/>
      </w:pPr>
      <w:r w:rsidRPr="00D96FFE">
        <w:rPr>
          <w:i/>
          <w:iCs/>
        </w:rPr>
        <w:t xml:space="preserve">        </w:t>
      </w:r>
      <w:r w:rsidRPr="00D96FFE">
        <w:rPr>
          <w:b/>
          <w:i/>
          <w:iCs/>
        </w:rPr>
        <w:t xml:space="preserve">субсидий бюджетам </w:t>
      </w:r>
      <w:r w:rsidR="00E864F7" w:rsidRPr="00D96FFE">
        <w:rPr>
          <w:b/>
          <w:i/>
          <w:iCs/>
        </w:rPr>
        <w:t>бюджетной системы</w:t>
      </w:r>
      <w:r w:rsidRPr="00D96FFE">
        <w:rPr>
          <w:b/>
          <w:i/>
          <w:iCs/>
        </w:rPr>
        <w:t xml:space="preserve"> Российской Федерации</w:t>
      </w:r>
      <w:r w:rsidRPr="00D96FFE">
        <w:rPr>
          <w:i/>
          <w:iCs/>
        </w:rPr>
        <w:t xml:space="preserve"> </w:t>
      </w:r>
      <w:r w:rsidRPr="00D96FFE">
        <w:t xml:space="preserve">при утвержденных бюджетных назначениях в сумме </w:t>
      </w:r>
      <w:r w:rsidR="00657EE7">
        <w:t>43 766 800,00</w:t>
      </w:r>
      <w:r w:rsidRPr="00D96FFE">
        <w:t xml:space="preserve"> рублей, исполне</w:t>
      </w:r>
      <w:r w:rsidR="00E864F7" w:rsidRPr="00D96FFE">
        <w:t xml:space="preserve">ны на </w:t>
      </w:r>
      <w:r w:rsidR="00657EE7">
        <w:t>19,6</w:t>
      </w:r>
      <w:r w:rsidRPr="00D96FFE">
        <w:t xml:space="preserve">% </w:t>
      </w:r>
      <w:r w:rsidR="00E864F7" w:rsidRPr="00D96FFE">
        <w:t xml:space="preserve">или в размере </w:t>
      </w:r>
      <w:r w:rsidR="00657EE7">
        <w:t>8 600 000,00</w:t>
      </w:r>
      <w:r w:rsidR="00D96FFE" w:rsidRPr="00D96FFE">
        <w:t xml:space="preserve"> </w:t>
      </w:r>
      <w:r w:rsidR="00E864F7" w:rsidRPr="00D96FFE">
        <w:t xml:space="preserve">рублей; </w:t>
      </w:r>
    </w:p>
    <w:p w:rsidR="00C04AD2" w:rsidRDefault="007B14E5" w:rsidP="002B1E3E">
      <w:pPr>
        <w:tabs>
          <w:tab w:val="left" w:pos="567"/>
        </w:tabs>
        <w:spacing w:line="276" w:lineRule="auto"/>
        <w:jc w:val="both"/>
      </w:pPr>
      <w:r w:rsidRPr="00D96FFE">
        <w:rPr>
          <w:i/>
        </w:rPr>
        <w:t xml:space="preserve">        </w:t>
      </w:r>
      <w:r w:rsidR="00E864F7" w:rsidRPr="00D96FFE">
        <w:rPr>
          <w:b/>
          <w:i/>
        </w:rPr>
        <w:t>иные межбюджетные трансферты</w:t>
      </w:r>
      <w:r w:rsidR="00E864F7" w:rsidRPr="00D96FFE">
        <w:t xml:space="preserve"> </w:t>
      </w:r>
      <w:r w:rsidRPr="00D96FFE">
        <w:t>исполнены</w:t>
      </w:r>
      <w:r w:rsidR="00E864F7" w:rsidRPr="00D96FFE">
        <w:t xml:space="preserve"> в размере </w:t>
      </w:r>
      <w:r w:rsidR="00657EE7">
        <w:t>2 963 250,00</w:t>
      </w:r>
      <w:r w:rsidR="00E864F7" w:rsidRPr="00D96FFE">
        <w:t xml:space="preserve"> рублей или </w:t>
      </w:r>
      <w:r w:rsidR="00657EE7">
        <w:t>40,3</w:t>
      </w:r>
      <w:r w:rsidR="00E864F7" w:rsidRPr="00D96FFE">
        <w:t xml:space="preserve"> % от плановых показателей</w:t>
      </w:r>
      <w:r w:rsidR="00466213" w:rsidRPr="00D96FFE">
        <w:t xml:space="preserve"> в размере </w:t>
      </w:r>
      <w:r w:rsidR="00657EE7">
        <w:t>7 349 000,00</w:t>
      </w:r>
      <w:r w:rsidR="009322CD">
        <w:t xml:space="preserve"> рублей</w:t>
      </w:r>
      <w:r w:rsidR="00E864F7" w:rsidRPr="00D96FFE">
        <w:t>.</w:t>
      </w:r>
      <w:r w:rsidR="00C04AD2" w:rsidRPr="00D96FFE">
        <w:t xml:space="preserve"> </w:t>
      </w:r>
    </w:p>
    <w:p w:rsidR="005659E8" w:rsidRPr="005636C6" w:rsidRDefault="005659E8" w:rsidP="005659E8">
      <w:pPr>
        <w:widowControl w:val="0"/>
        <w:overflowPunct/>
        <w:ind w:firstLine="540"/>
        <w:jc w:val="both"/>
        <w:textAlignment w:val="auto"/>
      </w:pPr>
      <w:r w:rsidRPr="005636C6">
        <w:rPr>
          <w:iCs/>
        </w:rPr>
        <w:t xml:space="preserve">Безвозмездные поступления от негосударственных организаций составили </w:t>
      </w:r>
      <w:r w:rsidR="00657EE7">
        <w:rPr>
          <w:iCs/>
        </w:rPr>
        <w:t>725 000,00</w:t>
      </w:r>
      <w:r w:rsidRPr="005636C6">
        <w:rPr>
          <w:iCs/>
        </w:rPr>
        <w:t xml:space="preserve"> </w:t>
      </w:r>
      <w:r w:rsidRPr="005636C6">
        <w:t xml:space="preserve">рублей или </w:t>
      </w:r>
      <w:r w:rsidR="00657EE7">
        <w:t>55,8</w:t>
      </w:r>
      <w:r w:rsidRPr="005636C6">
        <w:t>% от</w:t>
      </w:r>
      <w:r w:rsidR="00657EE7">
        <w:t xml:space="preserve"> годовых бюджетных назначений (1 300 000,00</w:t>
      </w:r>
      <w:r w:rsidRPr="005636C6">
        <w:t xml:space="preserve"> рублей).  </w:t>
      </w:r>
    </w:p>
    <w:p w:rsidR="00AA5EEE" w:rsidRDefault="00965598" w:rsidP="002B1E3E">
      <w:pPr>
        <w:tabs>
          <w:tab w:val="left" w:pos="567"/>
        </w:tabs>
        <w:spacing w:line="276" w:lineRule="auto"/>
        <w:jc w:val="both"/>
      </w:pPr>
      <w:r>
        <w:t xml:space="preserve">        </w:t>
      </w:r>
      <w:r w:rsidR="00657EE7">
        <w:t>Прочие безвозмездные поступления в 1 полугодие</w:t>
      </w:r>
      <w:r w:rsidR="00CC647E">
        <w:t xml:space="preserve"> 2024 года отсутствуют при запланированных бюджетных ассигнованиях в размере 118 995,00 рублей.</w:t>
      </w:r>
    </w:p>
    <w:p w:rsidR="00D96FFE" w:rsidRPr="002B1E3E" w:rsidRDefault="00D96FFE" w:rsidP="00C71FDD">
      <w:pPr>
        <w:pStyle w:val="a3"/>
        <w:widowControl w:val="0"/>
        <w:ind w:firstLine="0"/>
        <w:rPr>
          <w:i/>
          <w:sz w:val="16"/>
          <w:szCs w:val="16"/>
        </w:rPr>
      </w:pPr>
    </w:p>
    <w:p w:rsidR="00F4402F" w:rsidRPr="00472D01" w:rsidRDefault="00F4402F" w:rsidP="00C71FDD">
      <w:pPr>
        <w:pStyle w:val="a3"/>
        <w:widowControl w:val="0"/>
        <w:ind w:firstLine="0"/>
        <w:rPr>
          <w:i/>
        </w:rPr>
      </w:pPr>
      <w:r w:rsidRPr="00472D01">
        <w:rPr>
          <w:i/>
        </w:rPr>
        <w:t>4. </w:t>
      </w:r>
      <w:r w:rsidR="00C71FDD" w:rsidRPr="00472D01">
        <w:rPr>
          <w:i/>
        </w:rPr>
        <w:t xml:space="preserve">Анализ исполнения </w:t>
      </w:r>
      <w:r w:rsidR="00F75AEF" w:rsidRPr="00472D01">
        <w:rPr>
          <w:i/>
        </w:rPr>
        <w:t xml:space="preserve">местного </w:t>
      </w:r>
      <w:r w:rsidR="00C71FDD" w:rsidRPr="00472D01">
        <w:rPr>
          <w:i/>
        </w:rPr>
        <w:t>бюджета</w:t>
      </w:r>
      <w:r w:rsidR="00F75AEF" w:rsidRPr="00472D01">
        <w:rPr>
          <w:i/>
        </w:rPr>
        <w:t xml:space="preserve"> </w:t>
      </w:r>
      <w:r w:rsidR="00C71FDD" w:rsidRPr="00472D01">
        <w:rPr>
          <w:i/>
        </w:rPr>
        <w:t xml:space="preserve">по </w:t>
      </w:r>
      <w:r w:rsidRPr="00472D01">
        <w:rPr>
          <w:i/>
        </w:rPr>
        <w:t>расходам</w:t>
      </w:r>
    </w:p>
    <w:p w:rsidR="00F75AEF" w:rsidRPr="002B1E3E" w:rsidRDefault="00F75AEF" w:rsidP="00F75AEF">
      <w:pPr>
        <w:widowControl w:val="0"/>
        <w:jc w:val="both"/>
        <w:rPr>
          <w:b/>
          <w:bCs/>
          <w:sz w:val="16"/>
          <w:szCs w:val="16"/>
        </w:rPr>
      </w:pPr>
    </w:p>
    <w:p w:rsidR="00F75AEF" w:rsidRPr="00076260" w:rsidRDefault="00F75AEF" w:rsidP="002B1E3E">
      <w:pPr>
        <w:spacing w:line="276" w:lineRule="auto"/>
        <w:jc w:val="both"/>
        <w:rPr>
          <w:color w:val="FF0000"/>
        </w:rPr>
      </w:pPr>
      <w:r w:rsidRPr="00076260">
        <w:rPr>
          <w:bCs/>
        </w:rPr>
        <w:t xml:space="preserve">       </w:t>
      </w:r>
      <w:r w:rsidR="00E078A7" w:rsidRPr="00076260">
        <w:rPr>
          <w:spacing w:val="-4"/>
        </w:rPr>
        <w:t xml:space="preserve"> </w:t>
      </w:r>
      <w:r w:rsidRPr="00076260">
        <w:t xml:space="preserve">Расходы из бюджета муниципального образования Саракташский поссовет  за 1 </w:t>
      </w:r>
      <w:r w:rsidR="00744ACF">
        <w:t>полугодие</w:t>
      </w:r>
      <w:r w:rsidRPr="00076260">
        <w:t xml:space="preserve"> 20</w:t>
      </w:r>
      <w:r w:rsidR="000467F6" w:rsidRPr="00076260">
        <w:t>2</w:t>
      </w:r>
      <w:r w:rsidR="00CC647E">
        <w:t>4</w:t>
      </w:r>
      <w:r w:rsidR="00970228">
        <w:t xml:space="preserve"> </w:t>
      </w:r>
      <w:r w:rsidRPr="00076260">
        <w:t>года профинансированы в сумме</w:t>
      </w:r>
      <w:r w:rsidR="00970228">
        <w:t xml:space="preserve"> </w:t>
      </w:r>
      <w:r w:rsidR="00CC647E">
        <w:t xml:space="preserve"> 63 586 527,92</w:t>
      </w:r>
      <w:r w:rsidR="00970228">
        <w:t xml:space="preserve"> рублей</w:t>
      </w:r>
      <w:r w:rsidRPr="00076260">
        <w:rPr>
          <w:i/>
        </w:rPr>
        <w:t xml:space="preserve"> </w:t>
      </w:r>
      <w:r w:rsidRPr="00076260">
        <w:t xml:space="preserve">или на уровне </w:t>
      </w:r>
      <w:r w:rsidR="00CC647E">
        <w:t>41,3</w:t>
      </w:r>
      <w:r w:rsidRPr="00076260">
        <w:t>% к годовым бюджетным назначениям (</w:t>
      </w:r>
      <w:r w:rsidR="00CC647E">
        <w:t>153 975 746,52</w:t>
      </w:r>
      <w:r w:rsidR="00970228">
        <w:t xml:space="preserve"> </w:t>
      </w:r>
      <w:r w:rsidRPr="00076260">
        <w:t>рублей). За аналогичный период 20</w:t>
      </w:r>
      <w:r w:rsidR="001E00CB" w:rsidRPr="00076260">
        <w:t>2</w:t>
      </w:r>
      <w:r w:rsidR="00CC647E">
        <w:t>3</w:t>
      </w:r>
      <w:r w:rsidRPr="00076260">
        <w:t xml:space="preserve"> года расходы были профинансированы в сумме </w:t>
      </w:r>
      <w:r w:rsidR="00CC647E">
        <w:t xml:space="preserve">40 017 224,15 </w:t>
      </w:r>
      <w:r w:rsidRPr="00076260">
        <w:t xml:space="preserve">рублей или </w:t>
      </w:r>
      <w:r w:rsidR="00CC647E">
        <w:t>27,6</w:t>
      </w:r>
      <w:r w:rsidR="000467F6" w:rsidRPr="00076260">
        <w:t>%</w:t>
      </w:r>
      <w:r w:rsidR="00970228">
        <w:t xml:space="preserve"> </w:t>
      </w:r>
      <w:r w:rsidRPr="00076260">
        <w:t>к годовым бюджетным назначениям (</w:t>
      </w:r>
      <w:r w:rsidR="00CC647E">
        <w:t xml:space="preserve">145 084 578,71 </w:t>
      </w:r>
      <w:r w:rsidRPr="00076260">
        <w:t xml:space="preserve">рублей). В целом бюджетные назначения по сравнению с </w:t>
      </w:r>
      <w:r w:rsidR="0058261A" w:rsidRPr="00076260">
        <w:t xml:space="preserve">аналогичным периодом </w:t>
      </w:r>
      <w:r w:rsidRPr="00076260">
        <w:t>20</w:t>
      </w:r>
      <w:r w:rsidR="001E00CB" w:rsidRPr="00076260">
        <w:t>2</w:t>
      </w:r>
      <w:r w:rsidR="00CC647E">
        <w:t>3</w:t>
      </w:r>
      <w:r w:rsidRPr="00076260">
        <w:t xml:space="preserve"> год</w:t>
      </w:r>
      <w:r w:rsidR="001E00CB" w:rsidRPr="00076260">
        <w:t xml:space="preserve">а </w:t>
      </w:r>
      <w:r w:rsidRPr="00076260">
        <w:t>у</w:t>
      </w:r>
      <w:r w:rsidR="00CC647E">
        <w:t>величи</w:t>
      </w:r>
      <w:r w:rsidR="00970228">
        <w:t xml:space="preserve">лись </w:t>
      </w:r>
      <w:r w:rsidRPr="00076260">
        <w:t xml:space="preserve">на </w:t>
      </w:r>
      <w:r w:rsidR="00CC647E">
        <w:t>23 569 303,77</w:t>
      </w:r>
      <w:r w:rsidR="0058261A" w:rsidRPr="00076260">
        <w:t xml:space="preserve"> рублей или на </w:t>
      </w:r>
      <w:r w:rsidR="00CC647E">
        <w:t>58,9</w:t>
      </w:r>
      <w:r w:rsidR="0058261A" w:rsidRPr="00076260">
        <w:t>%.</w:t>
      </w:r>
    </w:p>
    <w:p w:rsidR="0058261A" w:rsidRPr="00076260" w:rsidRDefault="00F75AEF" w:rsidP="002B1E3E">
      <w:pPr>
        <w:widowControl w:val="0"/>
        <w:spacing w:line="276" w:lineRule="auto"/>
        <w:ind w:firstLine="540"/>
        <w:jc w:val="both"/>
      </w:pPr>
      <w:r w:rsidRPr="00076260">
        <w:t>Сведения об исполнении бюдж</w:t>
      </w:r>
      <w:r w:rsidR="000467F6" w:rsidRPr="00076260">
        <w:t xml:space="preserve">ета по расходам за 1 </w:t>
      </w:r>
      <w:r w:rsidR="00744ACF">
        <w:t>полугодие</w:t>
      </w:r>
      <w:r w:rsidR="000467F6" w:rsidRPr="00076260">
        <w:t xml:space="preserve"> 202</w:t>
      </w:r>
      <w:r w:rsidR="00CC647E">
        <w:t>4</w:t>
      </w:r>
      <w:r w:rsidRPr="00076260">
        <w:t xml:space="preserve"> года в сравнении с годовыми бюджетными назначениями на 20</w:t>
      </w:r>
      <w:r w:rsidR="000467F6" w:rsidRPr="00076260">
        <w:t>2</w:t>
      </w:r>
      <w:r w:rsidR="00CC647E">
        <w:t>4</w:t>
      </w:r>
      <w:r w:rsidRPr="00076260">
        <w:t xml:space="preserve"> год приведены на рисунке </w:t>
      </w:r>
      <w:r w:rsidR="002B1E3E" w:rsidRPr="00076260">
        <w:t>3</w:t>
      </w:r>
      <w:r w:rsidRPr="00076260">
        <w:t>.</w:t>
      </w:r>
    </w:p>
    <w:p w:rsidR="00A6488E" w:rsidRPr="00472D01" w:rsidRDefault="00A6488E" w:rsidP="00F75AEF">
      <w:pPr>
        <w:widowControl w:val="0"/>
        <w:ind w:firstLine="540"/>
        <w:jc w:val="both"/>
        <w:rPr>
          <w:i/>
        </w:rPr>
      </w:pPr>
    </w:p>
    <w:p w:rsidR="000C612E" w:rsidRPr="00472D01" w:rsidRDefault="000C612E" w:rsidP="00C054AC">
      <w:pPr>
        <w:widowControl w:val="0"/>
        <w:ind w:firstLine="567"/>
        <w:jc w:val="both"/>
        <w:rPr>
          <w:i/>
        </w:rPr>
      </w:pPr>
      <w:r w:rsidRPr="00472D01">
        <w:rPr>
          <w:i/>
          <w:noProof/>
        </w:rPr>
        <w:drawing>
          <wp:inline distT="0" distB="0" distL="0" distR="0">
            <wp:extent cx="6003290" cy="3437466"/>
            <wp:effectExtent l="19050" t="0" r="1651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488E" w:rsidRDefault="00A6488E" w:rsidP="0058261A">
      <w:pPr>
        <w:widowControl w:val="0"/>
        <w:ind w:firstLine="567"/>
        <w:jc w:val="both"/>
        <w:rPr>
          <w:i/>
          <w:sz w:val="24"/>
        </w:rPr>
      </w:pPr>
    </w:p>
    <w:p w:rsidR="0058261A" w:rsidRPr="00472D01" w:rsidRDefault="0058261A" w:rsidP="0058261A">
      <w:pPr>
        <w:widowControl w:val="0"/>
        <w:ind w:firstLine="567"/>
        <w:jc w:val="both"/>
        <w:rPr>
          <w:i/>
          <w:sz w:val="24"/>
        </w:rPr>
      </w:pPr>
      <w:r w:rsidRPr="00472D01">
        <w:rPr>
          <w:i/>
          <w:sz w:val="24"/>
        </w:rPr>
        <w:t>Рис.</w:t>
      </w:r>
      <w:r w:rsidR="002B1E3E">
        <w:rPr>
          <w:i/>
          <w:sz w:val="24"/>
        </w:rPr>
        <w:t>3</w:t>
      </w:r>
      <w:r w:rsidRPr="00472D01">
        <w:rPr>
          <w:i/>
          <w:sz w:val="24"/>
        </w:rPr>
        <w:t xml:space="preserve">. Исполнение местного бюджета по расходам за 1 </w:t>
      </w:r>
      <w:r w:rsidR="00744ACF">
        <w:rPr>
          <w:i/>
          <w:sz w:val="24"/>
        </w:rPr>
        <w:t>полугодие</w:t>
      </w:r>
      <w:r w:rsidRPr="00472D01">
        <w:rPr>
          <w:i/>
          <w:sz w:val="24"/>
        </w:rPr>
        <w:t xml:space="preserve"> 20</w:t>
      </w:r>
      <w:r w:rsidR="00A50A22" w:rsidRPr="00472D01">
        <w:rPr>
          <w:i/>
          <w:sz w:val="24"/>
        </w:rPr>
        <w:t>2</w:t>
      </w:r>
      <w:r w:rsidR="00CC647E">
        <w:rPr>
          <w:i/>
          <w:sz w:val="24"/>
        </w:rPr>
        <w:t>4</w:t>
      </w:r>
      <w:r w:rsidRPr="00472D01">
        <w:rPr>
          <w:i/>
          <w:sz w:val="24"/>
        </w:rPr>
        <w:t xml:space="preserve"> года (руб</w:t>
      </w:r>
      <w:r w:rsidR="004A2175" w:rsidRPr="00472D01">
        <w:rPr>
          <w:i/>
          <w:sz w:val="24"/>
        </w:rPr>
        <w:t>.</w:t>
      </w:r>
      <w:r w:rsidRPr="00472D01">
        <w:rPr>
          <w:i/>
          <w:sz w:val="24"/>
        </w:rPr>
        <w:t>)</w:t>
      </w:r>
    </w:p>
    <w:p w:rsidR="0058261A" w:rsidRPr="00472D01" w:rsidRDefault="0058261A" w:rsidP="0058261A">
      <w:pPr>
        <w:widowControl w:val="0"/>
        <w:ind w:firstLine="567"/>
        <w:jc w:val="both"/>
        <w:rPr>
          <w:i/>
          <w:sz w:val="24"/>
        </w:rPr>
      </w:pPr>
    </w:p>
    <w:p w:rsidR="006E59A7" w:rsidRDefault="0058261A" w:rsidP="00D86BFF">
      <w:pPr>
        <w:widowControl w:val="0"/>
        <w:spacing w:line="276" w:lineRule="auto"/>
        <w:ind w:firstLine="567"/>
        <w:jc w:val="both"/>
      </w:pPr>
      <w:r w:rsidRPr="007D3F5B">
        <w:t xml:space="preserve">Основную долю в расходах </w:t>
      </w:r>
      <w:r w:rsidR="004A2175" w:rsidRPr="007D3F5B">
        <w:t>местного</w:t>
      </w:r>
      <w:r w:rsidRPr="007D3F5B">
        <w:t xml:space="preserve"> бюджета за 1 </w:t>
      </w:r>
      <w:r w:rsidR="00744ACF" w:rsidRPr="007D3F5B">
        <w:t>полугодие</w:t>
      </w:r>
      <w:r w:rsidRPr="007D3F5B">
        <w:t xml:space="preserve">  текущего года</w:t>
      </w:r>
      <w:r w:rsidR="00387591" w:rsidRPr="007D3F5B">
        <w:t xml:space="preserve"> </w:t>
      </w:r>
      <w:r w:rsidRPr="007D3F5B">
        <w:t>занимают расходы по раздел</w:t>
      </w:r>
      <w:r w:rsidR="00D344D2" w:rsidRPr="007D3F5B">
        <w:t>у</w:t>
      </w:r>
      <w:r w:rsidRPr="007D3F5B">
        <w:t xml:space="preserve"> 0</w:t>
      </w:r>
      <w:r w:rsidR="00853FFB" w:rsidRPr="007D3F5B">
        <w:t>4</w:t>
      </w:r>
      <w:r w:rsidRPr="007D3F5B">
        <w:t>00 «</w:t>
      </w:r>
      <w:r w:rsidR="00853FFB" w:rsidRPr="007D3F5B">
        <w:t>Национальная экономика</w:t>
      </w:r>
      <w:r w:rsidRPr="007D3F5B">
        <w:t xml:space="preserve">» – </w:t>
      </w:r>
      <w:r w:rsidR="007D3F5B" w:rsidRPr="007D3F5B">
        <w:t>47,2</w:t>
      </w:r>
      <w:r w:rsidRPr="007D3F5B">
        <w:t>%</w:t>
      </w:r>
      <w:r w:rsidR="00D344D2" w:rsidRPr="007D3F5B">
        <w:t>.</w:t>
      </w:r>
      <w:r w:rsidR="00D344D2">
        <w:t xml:space="preserve"> </w:t>
      </w:r>
    </w:p>
    <w:p w:rsidR="00655CA1" w:rsidRPr="002F5BA6" w:rsidRDefault="00655CA1" w:rsidP="00D86BFF">
      <w:pPr>
        <w:spacing w:line="276" w:lineRule="auto"/>
        <w:ind w:firstLine="567"/>
        <w:contextualSpacing/>
        <w:jc w:val="both"/>
        <w:rPr>
          <w:color w:val="000000"/>
        </w:rPr>
      </w:pPr>
    </w:p>
    <w:p w:rsidR="00655CA1" w:rsidRDefault="00655CA1" w:rsidP="00D86BFF">
      <w:pPr>
        <w:spacing w:line="276" w:lineRule="auto"/>
        <w:ind w:firstLine="567"/>
        <w:contextualSpacing/>
        <w:jc w:val="both"/>
        <w:rPr>
          <w:color w:val="000000"/>
        </w:rPr>
      </w:pPr>
      <w:r w:rsidRPr="0009545A">
        <w:rPr>
          <w:noProof/>
          <w:color w:val="000000"/>
        </w:rPr>
        <w:drawing>
          <wp:inline distT="0" distB="0" distL="0" distR="0">
            <wp:extent cx="5973233" cy="2535766"/>
            <wp:effectExtent l="19050" t="0" r="8467" b="0"/>
            <wp:docPr id="7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44D2" w:rsidRPr="00472D01" w:rsidRDefault="00D344D2" w:rsidP="00D86BFF">
      <w:pPr>
        <w:widowControl w:val="0"/>
        <w:spacing w:line="276" w:lineRule="auto"/>
        <w:ind w:firstLine="567"/>
        <w:jc w:val="both"/>
      </w:pPr>
    </w:p>
    <w:p w:rsidR="00272DC5" w:rsidRPr="00472D01" w:rsidRDefault="00272DC5" w:rsidP="00D86BFF">
      <w:pPr>
        <w:pStyle w:val="aa"/>
        <w:spacing w:line="276" w:lineRule="auto"/>
        <w:jc w:val="both"/>
      </w:pPr>
    </w:p>
    <w:p w:rsidR="001E5569" w:rsidRPr="00472D01" w:rsidRDefault="009B11D6" w:rsidP="00D86BFF">
      <w:pPr>
        <w:pStyle w:val="2"/>
        <w:widowControl w:val="0"/>
        <w:spacing w:after="0" w:line="276" w:lineRule="auto"/>
        <w:ind w:left="0"/>
        <w:jc w:val="both"/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 xml:space="preserve">   </w:t>
      </w:r>
      <w:r w:rsidR="001E5569" w:rsidRPr="00472D01">
        <w:rPr>
          <w:i/>
          <w:iCs/>
          <w:noProof/>
          <w:sz w:val="24"/>
          <w:szCs w:val="24"/>
        </w:rPr>
        <w:t>Рис.</w:t>
      </w:r>
      <w:r w:rsidR="002B1E3E">
        <w:rPr>
          <w:i/>
          <w:iCs/>
          <w:noProof/>
          <w:sz w:val="24"/>
          <w:szCs w:val="24"/>
        </w:rPr>
        <w:t>4</w:t>
      </w:r>
      <w:r w:rsidR="001E5569" w:rsidRPr="00472D01">
        <w:rPr>
          <w:i/>
          <w:iCs/>
          <w:noProof/>
          <w:sz w:val="24"/>
          <w:szCs w:val="24"/>
        </w:rPr>
        <w:t>. Струкура расходов бюджета Саракташск</w:t>
      </w:r>
      <w:r>
        <w:rPr>
          <w:i/>
          <w:iCs/>
          <w:noProof/>
          <w:sz w:val="24"/>
          <w:szCs w:val="24"/>
        </w:rPr>
        <w:t>ого</w:t>
      </w:r>
      <w:r w:rsidR="001E5569" w:rsidRPr="00472D01">
        <w:rPr>
          <w:i/>
          <w:iCs/>
          <w:noProof/>
          <w:sz w:val="24"/>
          <w:szCs w:val="24"/>
        </w:rPr>
        <w:t xml:space="preserve"> поссовет</w:t>
      </w:r>
      <w:r>
        <w:rPr>
          <w:i/>
          <w:iCs/>
          <w:noProof/>
          <w:sz w:val="24"/>
          <w:szCs w:val="24"/>
        </w:rPr>
        <w:t>а</w:t>
      </w:r>
      <w:r w:rsidR="001E5569" w:rsidRPr="00472D01">
        <w:rPr>
          <w:i/>
          <w:iCs/>
          <w:noProof/>
          <w:sz w:val="24"/>
          <w:szCs w:val="24"/>
        </w:rPr>
        <w:t xml:space="preserve"> за 1 </w:t>
      </w:r>
      <w:r w:rsidR="00744ACF">
        <w:rPr>
          <w:i/>
          <w:iCs/>
          <w:noProof/>
          <w:sz w:val="24"/>
          <w:szCs w:val="24"/>
        </w:rPr>
        <w:t>полугодие</w:t>
      </w:r>
      <w:r w:rsidR="001E5569" w:rsidRPr="00472D01">
        <w:rPr>
          <w:i/>
          <w:iCs/>
          <w:noProof/>
          <w:sz w:val="24"/>
          <w:szCs w:val="24"/>
        </w:rPr>
        <w:t xml:space="preserve"> 20</w:t>
      </w:r>
      <w:r w:rsidR="006E59A7" w:rsidRPr="00472D01">
        <w:rPr>
          <w:i/>
          <w:iCs/>
          <w:noProof/>
          <w:sz w:val="24"/>
          <w:szCs w:val="24"/>
        </w:rPr>
        <w:t>2</w:t>
      </w:r>
      <w:r w:rsidR="007D3F5B">
        <w:rPr>
          <w:i/>
          <w:iCs/>
          <w:noProof/>
          <w:sz w:val="24"/>
          <w:szCs w:val="24"/>
        </w:rPr>
        <w:t>4</w:t>
      </w:r>
      <w:r w:rsidR="001E5569" w:rsidRPr="00472D01">
        <w:rPr>
          <w:i/>
          <w:iCs/>
          <w:noProof/>
          <w:sz w:val="24"/>
          <w:szCs w:val="24"/>
        </w:rPr>
        <w:t xml:space="preserve"> года ( в %).</w:t>
      </w:r>
    </w:p>
    <w:p w:rsidR="001E5569" w:rsidRPr="00472D01" w:rsidRDefault="001E5569" w:rsidP="00D86BFF">
      <w:pPr>
        <w:pStyle w:val="2"/>
        <w:widowControl w:val="0"/>
        <w:spacing w:after="0" w:line="276" w:lineRule="auto"/>
        <w:ind w:left="0"/>
        <w:jc w:val="both"/>
        <w:rPr>
          <w:i/>
          <w:iCs/>
          <w:noProof/>
          <w:sz w:val="24"/>
          <w:szCs w:val="24"/>
        </w:rPr>
      </w:pPr>
    </w:p>
    <w:p w:rsidR="00BE600D" w:rsidRPr="00472D01" w:rsidRDefault="00F4402F" w:rsidP="00D86BFF">
      <w:pPr>
        <w:widowControl w:val="0"/>
        <w:tabs>
          <w:tab w:val="left" w:pos="567"/>
        </w:tabs>
        <w:spacing w:line="276" w:lineRule="auto"/>
        <w:ind w:firstLine="567"/>
        <w:jc w:val="both"/>
        <w:outlineLvl w:val="3"/>
      </w:pPr>
      <w:r w:rsidRPr="00472D01">
        <w:t xml:space="preserve">Расходы по разделу </w:t>
      </w:r>
      <w:r w:rsidRPr="00472D01">
        <w:rPr>
          <w:b/>
          <w:bCs/>
        </w:rPr>
        <w:t>0100 «Общегосударственные вопросы»</w:t>
      </w:r>
      <w:r w:rsidRPr="00472D01">
        <w:t xml:space="preserve"> по состоянию на 01.0</w:t>
      </w:r>
      <w:r w:rsidR="002E4538">
        <w:t>7</w:t>
      </w:r>
      <w:r w:rsidRPr="00472D01">
        <w:t>.20</w:t>
      </w:r>
      <w:r w:rsidR="00D344D2">
        <w:t>2</w:t>
      </w:r>
      <w:r w:rsidR="005C3E1A">
        <w:t>4</w:t>
      </w:r>
      <w:r w:rsidRPr="00472D01">
        <w:t xml:space="preserve"> г</w:t>
      </w:r>
      <w:r w:rsidR="005F58C0" w:rsidRPr="00472D01">
        <w:t>ода</w:t>
      </w:r>
      <w:r w:rsidRPr="00472D01">
        <w:t xml:space="preserve"> исполнены в размере </w:t>
      </w:r>
      <w:r w:rsidR="005C3E1A">
        <w:t>7 305 368,60</w:t>
      </w:r>
      <w:r w:rsidRPr="00472D01">
        <w:t xml:space="preserve"> рублей, что </w:t>
      </w:r>
      <w:r w:rsidR="00227524" w:rsidRPr="00472D01">
        <w:t xml:space="preserve">составляет </w:t>
      </w:r>
      <w:r w:rsidR="005C3E1A">
        <w:t>50,3</w:t>
      </w:r>
      <w:r w:rsidR="00227524" w:rsidRPr="00472D01">
        <w:t>%</w:t>
      </w:r>
      <w:r w:rsidR="00387591" w:rsidRPr="00472D01">
        <w:rPr>
          <w:b/>
        </w:rPr>
        <w:t xml:space="preserve"> </w:t>
      </w:r>
      <w:r w:rsidRPr="00472D01">
        <w:t>от годовых бюджетных назначений</w:t>
      </w:r>
      <w:r w:rsidR="00D344D2">
        <w:t xml:space="preserve"> (</w:t>
      </w:r>
      <w:r w:rsidR="005C3E1A">
        <w:t>14 517 029,00</w:t>
      </w:r>
      <w:r w:rsidR="00D344D2">
        <w:t xml:space="preserve"> рублей)</w:t>
      </w:r>
      <w:r w:rsidR="001A0BE9" w:rsidRPr="00472D01">
        <w:t>.</w:t>
      </w:r>
      <w:r w:rsidR="00ED5ECB" w:rsidRPr="00472D01">
        <w:t xml:space="preserve"> </w:t>
      </w:r>
      <w:r w:rsidR="00BE600D" w:rsidRPr="00472D01">
        <w:t xml:space="preserve">По сравнению с </w:t>
      </w:r>
      <w:r w:rsidR="007807A4">
        <w:t xml:space="preserve">аналогичным периодом </w:t>
      </w:r>
      <w:r w:rsidR="00BE600D" w:rsidRPr="00472D01">
        <w:t>про</w:t>
      </w:r>
      <w:r w:rsidR="007807A4">
        <w:t>шлого</w:t>
      </w:r>
      <w:r w:rsidR="00BE600D" w:rsidRPr="00472D01">
        <w:t xml:space="preserve"> год</w:t>
      </w:r>
      <w:r w:rsidR="007807A4">
        <w:t>а</w:t>
      </w:r>
      <w:r w:rsidR="00BE600D" w:rsidRPr="00472D01">
        <w:t xml:space="preserve"> </w:t>
      </w:r>
      <w:r w:rsidR="007807A4">
        <w:t>расходы</w:t>
      </w:r>
      <w:r w:rsidR="00BE600D" w:rsidRPr="00472D01">
        <w:t xml:space="preserve"> </w:t>
      </w:r>
      <w:r w:rsidR="005C3E1A">
        <w:t>уменьшились</w:t>
      </w:r>
      <w:r w:rsidR="00BE600D" w:rsidRPr="00472D01">
        <w:t xml:space="preserve"> на </w:t>
      </w:r>
      <w:r w:rsidR="00F43D29">
        <w:t>7,2</w:t>
      </w:r>
      <w:r w:rsidR="00BE600D" w:rsidRPr="00472D01">
        <w:t xml:space="preserve">% или на </w:t>
      </w:r>
      <w:r w:rsidR="005C3E1A">
        <w:t>570 998,22</w:t>
      </w:r>
      <w:r w:rsidR="00BE600D" w:rsidRPr="00472D01">
        <w:t xml:space="preserve"> рублей. </w:t>
      </w:r>
    </w:p>
    <w:p w:rsidR="00F4402F" w:rsidRPr="00472D01" w:rsidRDefault="00771119" w:rsidP="00D86BFF">
      <w:pPr>
        <w:widowControl w:val="0"/>
        <w:shd w:val="clear" w:color="auto" w:fill="FFFFFF"/>
        <w:spacing w:line="276" w:lineRule="auto"/>
        <w:ind w:right="50" w:firstLine="545"/>
        <w:jc w:val="both"/>
      </w:pPr>
      <w:r w:rsidRPr="00472D01">
        <w:t>И</w:t>
      </w:r>
      <w:r w:rsidR="00F4402F" w:rsidRPr="00472D01">
        <w:t xml:space="preserve">сполнение </w:t>
      </w:r>
      <w:r w:rsidRPr="00472D01">
        <w:t xml:space="preserve">расходов </w:t>
      </w:r>
      <w:r w:rsidR="004974BD" w:rsidRPr="00472D01">
        <w:t xml:space="preserve">в разрезе </w:t>
      </w:r>
      <w:r w:rsidRPr="00472D01">
        <w:t>подраздел</w:t>
      </w:r>
      <w:r w:rsidR="004974BD" w:rsidRPr="00472D01">
        <w:t>ов</w:t>
      </w:r>
      <w:r w:rsidR="00763678" w:rsidRPr="00472D01">
        <w:t xml:space="preserve"> </w:t>
      </w:r>
      <w:r w:rsidR="00F4402F" w:rsidRPr="00472D01">
        <w:t xml:space="preserve">сложилось </w:t>
      </w:r>
      <w:r w:rsidR="00387591" w:rsidRPr="00472D01">
        <w:t xml:space="preserve">следующим </w:t>
      </w:r>
      <w:r w:rsidR="00F4402F" w:rsidRPr="00472D01">
        <w:t>образом:</w:t>
      </w:r>
    </w:p>
    <w:p w:rsidR="00F4402F" w:rsidRPr="00472D01" w:rsidRDefault="00E078A7" w:rsidP="00D86BFF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472D01">
        <w:t>р</w:t>
      </w:r>
      <w:r w:rsidR="00947CF4" w:rsidRPr="00472D01">
        <w:t xml:space="preserve">асходы по подразделу </w:t>
      </w:r>
      <w:r w:rsidR="00F4402F" w:rsidRPr="00472D01">
        <w:rPr>
          <w:b/>
          <w:i/>
        </w:rPr>
        <w:t>0102 «Функционирование высшего должностного лица муниципального образования</w:t>
      </w:r>
      <w:r w:rsidR="00F4402F" w:rsidRPr="00472D01">
        <w:rPr>
          <w:i/>
        </w:rPr>
        <w:t>»</w:t>
      </w:r>
      <w:r w:rsidR="00F4402F" w:rsidRPr="00472D01">
        <w:t xml:space="preserve"> исполнен</w:t>
      </w:r>
      <w:r w:rsidR="00947CF4" w:rsidRPr="00472D01">
        <w:t>ы</w:t>
      </w:r>
      <w:r w:rsidR="00F4402F" w:rsidRPr="00472D01">
        <w:t xml:space="preserve"> в сумме </w:t>
      </w:r>
      <w:r w:rsidR="00F43D29">
        <w:t>838 611,22</w:t>
      </w:r>
      <w:r w:rsidR="00F4402F" w:rsidRPr="00472D01">
        <w:t xml:space="preserve"> рублей или </w:t>
      </w:r>
      <w:r w:rsidR="00F43D29">
        <w:t>64,5</w:t>
      </w:r>
      <w:r w:rsidR="00F4402F" w:rsidRPr="00857C67">
        <w:t>%</w:t>
      </w:r>
      <w:r w:rsidR="00F4402F" w:rsidRPr="00472D01">
        <w:t xml:space="preserve"> от </w:t>
      </w:r>
      <w:r w:rsidR="00771119" w:rsidRPr="00472D01">
        <w:t>утвержденны</w:t>
      </w:r>
      <w:r w:rsidR="00F4402F" w:rsidRPr="00472D01">
        <w:t>х бюджетных назначений (</w:t>
      </w:r>
      <w:r w:rsidR="003D2157">
        <w:t xml:space="preserve">1 </w:t>
      </w:r>
      <w:r w:rsidR="007807A4">
        <w:t>3</w:t>
      </w:r>
      <w:r w:rsidR="003D2157">
        <w:t>00</w:t>
      </w:r>
      <w:r w:rsidR="00660AEB" w:rsidRPr="00472D01">
        <w:t xml:space="preserve"> </w:t>
      </w:r>
      <w:r w:rsidR="003D1413" w:rsidRPr="00472D01">
        <w:t>0</w:t>
      </w:r>
      <w:r w:rsidR="00763678" w:rsidRPr="00472D01">
        <w:t>00</w:t>
      </w:r>
      <w:r w:rsidR="002B217C" w:rsidRPr="00472D01">
        <w:t>,00</w:t>
      </w:r>
      <w:r w:rsidR="00F4402F" w:rsidRPr="00472D01">
        <w:t xml:space="preserve"> рублей);</w:t>
      </w:r>
    </w:p>
    <w:p w:rsidR="007807A4" w:rsidRPr="00472D01" w:rsidRDefault="007807A4" w:rsidP="00D86BFF">
      <w:pPr>
        <w:widowControl w:val="0"/>
        <w:spacing w:line="276" w:lineRule="auto"/>
        <w:ind w:firstLine="567"/>
        <w:jc w:val="both"/>
      </w:pPr>
      <w:r>
        <w:t xml:space="preserve">расходы </w:t>
      </w:r>
      <w:r w:rsidRPr="00472D01">
        <w:t xml:space="preserve">по подразделу </w:t>
      </w:r>
      <w:r w:rsidRPr="00472D01">
        <w:rPr>
          <w:b/>
          <w:i/>
        </w:rPr>
        <w:t xml:space="preserve">0103 «Функционирование законодательных (представительных) органов муниципальных образований» </w:t>
      </w:r>
      <w:r>
        <w:t xml:space="preserve">исполнены в сумме </w:t>
      </w:r>
      <w:r w:rsidR="00F43D29">
        <w:t>10 272,36</w:t>
      </w:r>
      <w:r>
        <w:t xml:space="preserve"> рублей или </w:t>
      </w:r>
      <w:r w:rsidR="00F43D29">
        <w:t>10,3</w:t>
      </w:r>
      <w:r>
        <w:t xml:space="preserve">%  </w:t>
      </w:r>
      <w:r w:rsidRPr="00472D01">
        <w:t xml:space="preserve">от утвержденных бюджетных назначений </w:t>
      </w:r>
      <w:r>
        <w:t xml:space="preserve"> </w:t>
      </w:r>
      <w:r w:rsidRPr="00472D01">
        <w:t>(</w:t>
      </w:r>
      <w:r>
        <w:t>100 </w:t>
      </w:r>
      <w:r w:rsidRPr="00472D01">
        <w:t>000</w:t>
      </w:r>
      <w:r>
        <w:t>,0</w:t>
      </w:r>
      <w:r w:rsidRPr="00472D01">
        <w:t xml:space="preserve"> рублей); </w:t>
      </w:r>
    </w:p>
    <w:p w:rsidR="00F4402F" w:rsidRPr="00472D01" w:rsidRDefault="00F00212" w:rsidP="00D86BFF">
      <w:pPr>
        <w:widowControl w:val="0"/>
        <w:spacing w:line="276" w:lineRule="auto"/>
        <w:ind w:firstLine="567"/>
        <w:jc w:val="both"/>
      </w:pPr>
      <w:r w:rsidRPr="00472D01">
        <w:t>р</w:t>
      </w:r>
      <w:r w:rsidR="00947CF4" w:rsidRPr="00472D01">
        <w:t xml:space="preserve">асходы по подразделу </w:t>
      </w:r>
      <w:r w:rsidR="00F4402F" w:rsidRPr="00472D01">
        <w:rPr>
          <w:b/>
          <w:i/>
        </w:rPr>
        <w:t>0104 «Функционирование местных администраций»</w:t>
      </w:r>
      <w:r w:rsidR="00C50D17" w:rsidRPr="00472D01">
        <w:rPr>
          <w:b/>
          <w:i/>
        </w:rPr>
        <w:t xml:space="preserve"> </w:t>
      </w:r>
      <w:r w:rsidR="00C50D17" w:rsidRPr="00472D01">
        <w:t>исполнены</w:t>
      </w:r>
      <w:r w:rsidR="00C50D17" w:rsidRPr="00472D01">
        <w:rPr>
          <w:b/>
          <w:i/>
        </w:rPr>
        <w:t xml:space="preserve"> </w:t>
      </w:r>
      <w:r w:rsidR="00947CF4" w:rsidRPr="00472D01">
        <w:t xml:space="preserve">в сумме </w:t>
      </w:r>
      <w:r w:rsidR="00F43D29">
        <w:t>6 109 756,85</w:t>
      </w:r>
      <w:r w:rsidR="00F4402F" w:rsidRPr="00857C67">
        <w:t xml:space="preserve"> рублей, или </w:t>
      </w:r>
      <w:r w:rsidR="007807A4">
        <w:t>5</w:t>
      </w:r>
      <w:r w:rsidR="00F43D29">
        <w:t>0,2</w:t>
      </w:r>
      <w:r w:rsidR="00F4402F" w:rsidRPr="00857C67">
        <w:t>%</w:t>
      </w:r>
      <w:r w:rsidR="00F4402F" w:rsidRPr="00472D01">
        <w:t xml:space="preserve"> от годовых бюджетных назначений (</w:t>
      </w:r>
      <w:r w:rsidR="00F43D29">
        <w:t>12 162 829,00</w:t>
      </w:r>
      <w:r w:rsidR="00F4402F" w:rsidRPr="00472D01">
        <w:t xml:space="preserve"> рублей); </w:t>
      </w:r>
    </w:p>
    <w:p w:rsidR="00F4402F" w:rsidRPr="00472D01" w:rsidRDefault="00F00212" w:rsidP="00D86BFF">
      <w:pPr>
        <w:widowControl w:val="0"/>
        <w:spacing w:line="276" w:lineRule="auto"/>
        <w:ind w:firstLine="567"/>
        <w:jc w:val="both"/>
      </w:pPr>
      <w:r w:rsidRPr="00472D01">
        <w:t>п</w:t>
      </w:r>
      <w:r w:rsidR="004F2C7E" w:rsidRPr="00472D01">
        <w:t>о подразделу</w:t>
      </w:r>
      <w:r w:rsidR="00672008" w:rsidRPr="00472D01">
        <w:t xml:space="preserve"> </w:t>
      </w:r>
      <w:r w:rsidR="00F4402F" w:rsidRPr="00472D01">
        <w:rPr>
          <w:b/>
          <w:i/>
        </w:rPr>
        <w:t>0106 «</w:t>
      </w:r>
      <w:r w:rsidR="00672008" w:rsidRPr="00472D01">
        <w:rPr>
          <w:b/>
          <w:i/>
        </w:rPr>
        <w:t>Контрольно-счетный орган</w:t>
      </w:r>
      <w:r w:rsidR="00F4402F" w:rsidRPr="00472D01">
        <w:rPr>
          <w:b/>
          <w:i/>
        </w:rPr>
        <w:t>»</w:t>
      </w:r>
      <w:r w:rsidR="00672008" w:rsidRPr="00472D01">
        <w:rPr>
          <w:b/>
          <w:i/>
        </w:rPr>
        <w:t xml:space="preserve"> </w:t>
      </w:r>
      <w:r w:rsidR="005472B2" w:rsidRPr="00472D01">
        <w:t xml:space="preserve">расходы составили </w:t>
      </w:r>
      <w:r w:rsidR="00F43D29">
        <w:t>272 536,17</w:t>
      </w:r>
      <w:r w:rsidR="00672008" w:rsidRPr="00857C67">
        <w:t> </w:t>
      </w:r>
      <w:r w:rsidR="006723CC" w:rsidRPr="00857C67">
        <w:t xml:space="preserve"> рублей </w:t>
      </w:r>
      <w:r w:rsidR="00F4402F" w:rsidRPr="00857C67">
        <w:t xml:space="preserve"> или </w:t>
      </w:r>
      <w:r w:rsidR="00F43D29">
        <w:t>34,9</w:t>
      </w:r>
      <w:r w:rsidR="00F4402F" w:rsidRPr="00857C67">
        <w:t>%</w:t>
      </w:r>
      <w:r w:rsidR="00F4402F" w:rsidRPr="00472D01">
        <w:t xml:space="preserve"> от годовых бюджетных назначений (</w:t>
      </w:r>
      <w:r w:rsidR="007807A4">
        <w:t>7</w:t>
      </w:r>
      <w:r w:rsidR="00F43D29">
        <w:t>8</w:t>
      </w:r>
      <w:r w:rsidR="002D401F">
        <w:t xml:space="preserve">0 </w:t>
      </w:r>
      <w:r w:rsidR="00660AEB" w:rsidRPr="00472D01">
        <w:t>000</w:t>
      </w:r>
      <w:r w:rsidR="002B217C" w:rsidRPr="00472D01">
        <w:t>,00</w:t>
      </w:r>
      <w:r w:rsidR="00F4402F" w:rsidRPr="00472D01">
        <w:t xml:space="preserve"> рублей); </w:t>
      </w:r>
    </w:p>
    <w:p w:rsidR="00BE600D" w:rsidRPr="00472D01" w:rsidRDefault="003D1413" w:rsidP="00D86BFF">
      <w:pPr>
        <w:widowControl w:val="0"/>
        <w:spacing w:line="276" w:lineRule="auto"/>
        <w:ind w:firstLine="567"/>
        <w:jc w:val="both"/>
      </w:pPr>
      <w:r w:rsidRPr="00472D01">
        <w:t xml:space="preserve">расходы </w:t>
      </w:r>
      <w:r w:rsidR="00F00212" w:rsidRPr="00472D01">
        <w:t>п</w:t>
      </w:r>
      <w:r w:rsidR="005472B2" w:rsidRPr="00472D01">
        <w:t>о подразделу</w:t>
      </w:r>
      <w:r w:rsidR="00672008" w:rsidRPr="00472D01">
        <w:t xml:space="preserve"> </w:t>
      </w:r>
      <w:r w:rsidR="00F4402F" w:rsidRPr="00472D01">
        <w:rPr>
          <w:b/>
          <w:i/>
        </w:rPr>
        <w:t>0111 «Резервные фонды»</w:t>
      </w:r>
      <w:r w:rsidR="00672008" w:rsidRPr="00472D01">
        <w:t xml:space="preserve"> </w:t>
      </w:r>
      <w:r w:rsidRPr="00472D01">
        <w:t>в отчетном периоде не производились</w:t>
      </w:r>
      <w:r w:rsidR="00BE600D" w:rsidRPr="00472D01">
        <w:t xml:space="preserve"> при утвержденных годовых бюджетных назначениях (100 000,00 рублей);</w:t>
      </w:r>
    </w:p>
    <w:p w:rsidR="00BD3FAF" w:rsidRDefault="002C7711" w:rsidP="00D86BFF">
      <w:pPr>
        <w:widowControl w:val="0"/>
        <w:spacing w:line="276" w:lineRule="auto"/>
        <w:ind w:firstLine="567"/>
        <w:jc w:val="both"/>
      </w:pPr>
      <w:r w:rsidRPr="00472D01">
        <w:t>р</w:t>
      </w:r>
      <w:r w:rsidR="005472B2" w:rsidRPr="00472D01">
        <w:t>асходы по подразделу</w:t>
      </w:r>
      <w:r w:rsidR="00672008" w:rsidRPr="00472D01">
        <w:t xml:space="preserve"> </w:t>
      </w:r>
      <w:r w:rsidR="00F4402F" w:rsidRPr="00472D01">
        <w:rPr>
          <w:b/>
          <w:i/>
        </w:rPr>
        <w:t>0113 «Другие общегосударственные вопросы»</w:t>
      </w:r>
      <w:r w:rsidR="00672008" w:rsidRPr="00472D01">
        <w:rPr>
          <w:b/>
          <w:i/>
        </w:rPr>
        <w:t xml:space="preserve"> </w:t>
      </w:r>
      <w:r w:rsidR="00672008" w:rsidRPr="00472D01">
        <w:t xml:space="preserve">исполнены в сумме </w:t>
      </w:r>
      <w:r w:rsidR="00F43D29">
        <w:t>74 192,00</w:t>
      </w:r>
      <w:r w:rsidR="00672008" w:rsidRPr="00857C67">
        <w:t xml:space="preserve"> рублей</w:t>
      </w:r>
      <w:r w:rsidR="007807A4">
        <w:t xml:space="preserve"> или 100</w:t>
      </w:r>
      <w:r w:rsidR="00672008" w:rsidRPr="00857C67">
        <w:t>% от</w:t>
      </w:r>
      <w:r w:rsidR="00672008" w:rsidRPr="00472D01">
        <w:t xml:space="preserve"> годовых бюджетных назначений</w:t>
      </w:r>
      <w:r w:rsidR="004203A0" w:rsidRPr="00472D01">
        <w:t>.</w:t>
      </w:r>
    </w:p>
    <w:p w:rsidR="007807A4" w:rsidRPr="00472D01" w:rsidRDefault="007807A4" w:rsidP="00D86BFF">
      <w:pPr>
        <w:widowControl w:val="0"/>
        <w:spacing w:line="276" w:lineRule="auto"/>
        <w:ind w:firstLine="567"/>
        <w:jc w:val="both"/>
      </w:pPr>
    </w:p>
    <w:p w:rsidR="00F4402F" w:rsidRPr="00472D01" w:rsidRDefault="0051630E" w:rsidP="00D86BFF">
      <w:pPr>
        <w:widowControl w:val="0"/>
        <w:spacing w:line="276" w:lineRule="auto"/>
        <w:ind w:firstLine="567"/>
        <w:jc w:val="both"/>
      </w:pPr>
      <w:r w:rsidRPr="00472D01">
        <w:rPr>
          <w:i/>
        </w:rPr>
        <w:t xml:space="preserve"> </w:t>
      </w:r>
      <w:r w:rsidR="00771119" w:rsidRPr="00655CA1">
        <w:t>Исполнение расходов п</w:t>
      </w:r>
      <w:r w:rsidR="00F4402F" w:rsidRPr="00655CA1">
        <w:t xml:space="preserve">о разделу </w:t>
      </w:r>
      <w:r w:rsidR="00F4402F" w:rsidRPr="00655CA1">
        <w:rPr>
          <w:b/>
          <w:bCs/>
        </w:rPr>
        <w:t xml:space="preserve">0300 </w:t>
      </w:r>
      <w:r w:rsidR="00F4402F" w:rsidRPr="00655CA1">
        <w:t>«</w:t>
      </w:r>
      <w:r w:rsidR="00F4402F" w:rsidRPr="00472D01">
        <w:rPr>
          <w:b/>
          <w:bCs/>
        </w:rPr>
        <w:t>Национальная безопасность и правоохранительная деятельность»</w:t>
      </w:r>
      <w:r w:rsidR="00F4402F" w:rsidRPr="00472D01">
        <w:t xml:space="preserve"> состав</w:t>
      </w:r>
      <w:r w:rsidR="003D1413" w:rsidRPr="00472D01">
        <w:t>ило</w:t>
      </w:r>
      <w:r w:rsidR="00FE4471" w:rsidRPr="00472D01">
        <w:t xml:space="preserve"> </w:t>
      </w:r>
      <w:r w:rsidR="00F43D29">
        <w:t xml:space="preserve">1 175 122,16 </w:t>
      </w:r>
      <w:r w:rsidR="00F4402F" w:rsidRPr="00472D01">
        <w:t xml:space="preserve">рублей или </w:t>
      </w:r>
      <w:r w:rsidR="00F43D29">
        <w:t>47,5</w:t>
      </w:r>
      <w:r w:rsidR="00F4402F" w:rsidRPr="00472D01">
        <w:t xml:space="preserve">% </w:t>
      </w:r>
      <w:r w:rsidR="0009726F" w:rsidRPr="00472D01">
        <w:rPr>
          <w:spacing w:val="-4"/>
        </w:rPr>
        <w:t xml:space="preserve">от </w:t>
      </w:r>
      <w:r w:rsidR="0009726F" w:rsidRPr="00472D01">
        <w:t>утвержденного годового объема бюджетных назначений</w:t>
      </w:r>
      <w:r w:rsidR="00BE600D" w:rsidRPr="00472D01">
        <w:t xml:space="preserve"> (</w:t>
      </w:r>
      <w:r w:rsidR="007807A4">
        <w:t>2</w:t>
      </w:r>
      <w:r w:rsidR="00F43D29">
        <w:t> 472 500,00</w:t>
      </w:r>
      <w:r w:rsidR="00BE600D" w:rsidRPr="00472D01">
        <w:t xml:space="preserve"> рублей)</w:t>
      </w:r>
      <w:r w:rsidR="0009726F" w:rsidRPr="00472D01">
        <w:t xml:space="preserve">, что на </w:t>
      </w:r>
      <w:r w:rsidR="00F43D29">
        <w:t xml:space="preserve">39 305,77 </w:t>
      </w:r>
      <w:r w:rsidR="0009726F" w:rsidRPr="00472D01">
        <w:t xml:space="preserve">рублей или на </w:t>
      </w:r>
      <w:r w:rsidR="00F43D29">
        <w:t>3,2</w:t>
      </w:r>
      <w:r w:rsidR="0009726F" w:rsidRPr="00472D01">
        <w:t>%</w:t>
      </w:r>
      <w:r w:rsidR="00F66527" w:rsidRPr="00472D01">
        <w:t xml:space="preserve"> </w:t>
      </w:r>
      <w:r w:rsidR="00F43D29">
        <w:t>ниже</w:t>
      </w:r>
      <w:r w:rsidR="0009726F" w:rsidRPr="00472D01">
        <w:t xml:space="preserve"> расходов бюджета по данному разделу за аналогичный период 20</w:t>
      </w:r>
      <w:r w:rsidR="00253AF9">
        <w:t>2</w:t>
      </w:r>
      <w:r w:rsidR="00F43D29">
        <w:t>3</w:t>
      </w:r>
      <w:r w:rsidR="0009726F" w:rsidRPr="00472D01">
        <w:t xml:space="preserve"> года</w:t>
      </w:r>
      <w:r w:rsidR="00F66527" w:rsidRPr="00472D01">
        <w:t xml:space="preserve"> (</w:t>
      </w:r>
      <w:r w:rsidR="00F43D29">
        <w:t>1 214 427,93</w:t>
      </w:r>
      <w:r w:rsidR="00A57463" w:rsidRPr="00472D01">
        <w:t xml:space="preserve"> </w:t>
      </w:r>
      <w:r w:rsidR="00F66527" w:rsidRPr="00472D01">
        <w:t>рублей)</w:t>
      </w:r>
      <w:r w:rsidR="0009726F" w:rsidRPr="00472D01">
        <w:t xml:space="preserve">. </w:t>
      </w:r>
      <w:r w:rsidR="005511C7" w:rsidRPr="00472D01">
        <w:t xml:space="preserve"> </w:t>
      </w:r>
    </w:p>
    <w:p w:rsidR="0009726F" w:rsidRDefault="00F3006A" w:rsidP="00D86BFF">
      <w:pPr>
        <w:widowControl w:val="0"/>
        <w:spacing w:line="276" w:lineRule="auto"/>
        <w:ind w:firstLine="567"/>
        <w:jc w:val="both"/>
      </w:pPr>
      <w:r>
        <w:t>Р</w:t>
      </w:r>
      <w:r w:rsidR="003D1413" w:rsidRPr="00472D01">
        <w:t xml:space="preserve">асходы произведены </w:t>
      </w:r>
      <w:r w:rsidR="000713E2" w:rsidRPr="00472D01">
        <w:t xml:space="preserve">по подразделу </w:t>
      </w:r>
      <w:r w:rsidR="000713E2" w:rsidRPr="00F3006A">
        <w:rPr>
          <w:b/>
          <w:i/>
        </w:rPr>
        <w:t>0310 «</w:t>
      </w:r>
      <w:r w:rsidR="00253AF9">
        <w:rPr>
          <w:b/>
          <w:i/>
        </w:rPr>
        <w:t>Защита населения и территории от чрезвычайных ситуаций природного и техногенного характера, пожарная</w:t>
      </w:r>
      <w:r w:rsidR="000713E2" w:rsidRPr="00F3006A">
        <w:rPr>
          <w:b/>
          <w:i/>
        </w:rPr>
        <w:t xml:space="preserve"> безопасно</w:t>
      </w:r>
      <w:r w:rsidR="00253AF9">
        <w:rPr>
          <w:b/>
          <w:i/>
        </w:rPr>
        <w:t>сть</w:t>
      </w:r>
      <w:r w:rsidR="000713E2" w:rsidRPr="00F3006A">
        <w:rPr>
          <w:b/>
          <w:i/>
        </w:rPr>
        <w:t>»</w:t>
      </w:r>
      <w:r>
        <w:t xml:space="preserve"> в сумме </w:t>
      </w:r>
      <w:r w:rsidR="00F43D29">
        <w:t>1 175 122,16</w:t>
      </w:r>
      <w:r>
        <w:t xml:space="preserve"> рулей или </w:t>
      </w:r>
      <w:r w:rsidR="00F43D29">
        <w:t>47,5</w:t>
      </w:r>
      <w:r>
        <w:t>% от запланированных бюджет</w:t>
      </w:r>
      <w:r w:rsidR="00A57463">
        <w:t>ных ассигнований (</w:t>
      </w:r>
      <w:r w:rsidR="00070B22">
        <w:t xml:space="preserve">2 </w:t>
      </w:r>
      <w:r w:rsidR="00F43D29">
        <w:t>45</w:t>
      </w:r>
      <w:r w:rsidR="00070B22">
        <w:t>0</w:t>
      </w:r>
      <w:r>
        <w:t> 000,00 рублей).</w:t>
      </w:r>
    </w:p>
    <w:p w:rsidR="00F3006A" w:rsidRDefault="00F3006A" w:rsidP="00D86BFF">
      <w:pPr>
        <w:widowControl w:val="0"/>
        <w:spacing w:line="276" w:lineRule="auto"/>
        <w:ind w:firstLine="567"/>
        <w:jc w:val="both"/>
      </w:pPr>
      <w:r>
        <w:t xml:space="preserve">По подразделу </w:t>
      </w:r>
      <w:r w:rsidRPr="00F3006A">
        <w:rPr>
          <w:b/>
          <w:i/>
        </w:rPr>
        <w:t>0314 «Другие вопросы в области национальной безопасности и правоохранительной деятельности»</w:t>
      </w:r>
      <w:r>
        <w:t xml:space="preserve"> расходы в отчетном периоде не производились</w:t>
      </w:r>
      <w:r w:rsidR="009E7776">
        <w:t xml:space="preserve"> при плане в размере 22 500,00 рублей.</w:t>
      </w:r>
      <w:r>
        <w:t xml:space="preserve"> </w:t>
      </w:r>
    </w:p>
    <w:p w:rsidR="00070B22" w:rsidRPr="00472D01" w:rsidRDefault="00070B22" w:rsidP="00D86BFF">
      <w:pPr>
        <w:widowControl w:val="0"/>
        <w:spacing w:line="276" w:lineRule="auto"/>
        <w:ind w:firstLine="567"/>
        <w:jc w:val="both"/>
      </w:pPr>
    </w:p>
    <w:p w:rsidR="00F4402F" w:rsidRDefault="005F58C0" w:rsidP="00D86BFF">
      <w:pPr>
        <w:widowControl w:val="0"/>
        <w:spacing w:line="276" w:lineRule="auto"/>
        <w:ind w:firstLine="545"/>
        <w:jc w:val="both"/>
      </w:pPr>
      <w:r w:rsidRPr="00472D01">
        <w:t>Расходы п</w:t>
      </w:r>
      <w:r w:rsidR="00F4402F" w:rsidRPr="00472D01">
        <w:t xml:space="preserve">о разделу </w:t>
      </w:r>
      <w:r w:rsidR="00F4402F" w:rsidRPr="00472D01">
        <w:rPr>
          <w:b/>
          <w:bCs/>
        </w:rPr>
        <w:t>0400 «Национальная экономика»</w:t>
      </w:r>
      <w:r w:rsidR="00C15BD8" w:rsidRPr="00472D01">
        <w:rPr>
          <w:b/>
          <w:bCs/>
        </w:rPr>
        <w:t xml:space="preserve"> </w:t>
      </w:r>
      <w:r w:rsidR="00F4402F" w:rsidRPr="00472D01">
        <w:t xml:space="preserve">исполнены в </w:t>
      </w:r>
      <w:r w:rsidRPr="00472D01">
        <w:t>сум</w:t>
      </w:r>
      <w:r w:rsidR="00F4402F" w:rsidRPr="00472D01">
        <w:t xml:space="preserve">ме    </w:t>
      </w:r>
      <w:r w:rsidR="00F43D29">
        <w:t>29 995 691,20</w:t>
      </w:r>
      <w:r w:rsidR="00A57463">
        <w:t xml:space="preserve"> </w:t>
      </w:r>
      <w:r w:rsidR="00F4402F" w:rsidRPr="00472D01">
        <w:t xml:space="preserve">рублей </w:t>
      </w:r>
      <w:r w:rsidR="0009726F" w:rsidRPr="00472D01">
        <w:t xml:space="preserve">или </w:t>
      </w:r>
      <w:r w:rsidR="00F43D29">
        <w:t>57,8</w:t>
      </w:r>
      <w:r w:rsidR="0009726F" w:rsidRPr="00472D01">
        <w:t xml:space="preserve">% </w:t>
      </w:r>
      <w:r w:rsidR="00520A95" w:rsidRPr="00472D01">
        <w:t>от</w:t>
      </w:r>
      <w:r w:rsidRPr="00472D01">
        <w:t xml:space="preserve"> утвержденны</w:t>
      </w:r>
      <w:r w:rsidR="00520A95" w:rsidRPr="00472D01">
        <w:t>х</w:t>
      </w:r>
      <w:r w:rsidRPr="00472D01">
        <w:t xml:space="preserve"> бюджетны</w:t>
      </w:r>
      <w:r w:rsidR="00520A95" w:rsidRPr="00472D01">
        <w:t>х</w:t>
      </w:r>
      <w:r w:rsidRPr="00472D01">
        <w:t xml:space="preserve"> назначени</w:t>
      </w:r>
      <w:r w:rsidR="00520A95" w:rsidRPr="00472D01">
        <w:t>й</w:t>
      </w:r>
      <w:r w:rsidR="0009726F" w:rsidRPr="00472D01">
        <w:t>.</w:t>
      </w:r>
      <w:r w:rsidRPr="00472D01">
        <w:t xml:space="preserve"> </w:t>
      </w:r>
      <w:r w:rsidR="00F4402F" w:rsidRPr="00472D01">
        <w:t xml:space="preserve">В </w:t>
      </w:r>
      <w:r w:rsidRPr="00472D01">
        <w:t xml:space="preserve">сравнении с </w:t>
      </w:r>
      <w:r w:rsidR="00F4402F" w:rsidRPr="00472D01">
        <w:t>аналогичн</w:t>
      </w:r>
      <w:r w:rsidRPr="00472D01">
        <w:t>ы</w:t>
      </w:r>
      <w:r w:rsidR="00F4402F" w:rsidRPr="00472D01">
        <w:t>м период</w:t>
      </w:r>
      <w:r w:rsidRPr="00472D01">
        <w:t>ом</w:t>
      </w:r>
      <w:r w:rsidR="008F1939" w:rsidRPr="00472D01">
        <w:t xml:space="preserve"> </w:t>
      </w:r>
      <w:r w:rsidRPr="00472D01">
        <w:t>20</w:t>
      </w:r>
      <w:r w:rsidR="00A57463">
        <w:t>2</w:t>
      </w:r>
      <w:r w:rsidR="00F43D29">
        <w:t>3</w:t>
      </w:r>
      <w:r w:rsidR="00F4402F" w:rsidRPr="00472D01">
        <w:t xml:space="preserve"> года</w:t>
      </w:r>
      <w:r w:rsidR="00C425A4" w:rsidRPr="00472D01">
        <w:t xml:space="preserve"> </w:t>
      </w:r>
      <w:r w:rsidR="00070B22">
        <w:t>1</w:t>
      </w:r>
      <w:r w:rsidR="00F43D29">
        <w:t xml:space="preserve">4 587 060,67 </w:t>
      </w:r>
      <w:r w:rsidR="00C425A4" w:rsidRPr="00472D01">
        <w:t>рублей</w:t>
      </w:r>
      <w:r w:rsidR="006723CC" w:rsidRPr="00472D01">
        <w:t>,</w:t>
      </w:r>
      <w:r w:rsidR="008F1939" w:rsidRPr="00472D01">
        <w:t xml:space="preserve"> </w:t>
      </w:r>
      <w:r w:rsidRPr="00472D01">
        <w:t xml:space="preserve">сумма </w:t>
      </w:r>
      <w:r w:rsidR="00C425A4" w:rsidRPr="00472D01">
        <w:t xml:space="preserve">расходов в текущем году </w:t>
      </w:r>
      <w:r w:rsidR="0094676D" w:rsidRPr="00472D01">
        <w:t>у</w:t>
      </w:r>
      <w:r w:rsidR="00F43D29">
        <w:t>величилась</w:t>
      </w:r>
      <w:r w:rsidR="00C425A4" w:rsidRPr="00472D01">
        <w:t xml:space="preserve"> на </w:t>
      </w:r>
      <w:r w:rsidR="00F43D29">
        <w:t>15 408 630,53</w:t>
      </w:r>
      <w:r w:rsidR="00F66527" w:rsidRPr="00472D01">
        <w:t xml:space="preserve"> </w:t>
      </w:r>
      <w:r w:rsidR="00C425A4" w:rsidRPr="00472D01">
        <w:t xml:space="preserve">рублей или на </w:t>
      </w:r>
      <w:r w:rsidR="00F43D29">
        <w:t>105,6</w:t>
      </w:r>
      <w:r w:rsidR="00C425A4" w:rsidRPr="00472D01">
        <w:t>%.</w:t>
      </w:r>
    </w:p>
    <w:p w:rsidR="001C633C" w:rsidRDefault="008D34A5" w:rsidP="00D86BFF">
      <w:pPr>
        <w:widowControl w:val="0"/>
        <w:spacing w:line="276" w:lineRule="auto"/>
        <w:ind w:firstLine="545"/>
        <w:jc w:val="both"/>
      </w:pPr>
      <w:r>
        <w:t>Р</w:t>
      </w:r>
      <w:r w:rsidRPr="00472D01">
        <w:t xml:space="preserve">асходы по подразделу </w:t>
      </w:r>
      <w:r w:rsidRPr="00F3006A">
        <w:rPr>
          <w:b/>
          <w:i/>
        </w:rPr>
        <w:t>0</w:t>
      </w:r>
      <w:r>
        <w:rPr>
          <w:b/>
          <w:i/>
        </w:rPr>
        <w:t xml:space="preserve">409 «Дорожное хозяйство (дорожные фонды) </w:t>
      </w:r>
      <w:r w:rsidRPr="00472D01">
        <w:t>произведены</w:t>
      </w:r>
      <w:r>
        <w:t xml:space="preserve"> в размере </w:t>
      </w:r>
      <w:r w:rsidR="005C503C">
        <w:t>29 965 691,20</w:t>
      </w:r>
      <w:r w:rsidR="00662EB6">
        <w:t xml:space="preserve"> рублей </w:t>
      </w:r>
      <w:r>
        <w:t xml:space="preserve">или </w:t>
      </w:r>
      <w:r w:rsidR="00662EB6">
        <w:t>5</w:t>
      </w:r>
      <w:r w:rsidR="005C503C">
        <w:t>7,8</w:t>
      </w:r>
      <w:r>
        <w:t>% от запланированных бюджетных ассигнований (</w:t>
      </w:r>
      <w:r w:rsidR="005C503C">
        <w:t>51 459 351,00</w:t>
      </w:r>
      <w:r>
        <w:t xml:space="preserve"> рублей).</w:t>
      </w:r>
    </w:p>
    <w:p w:rsidR="00662EB6" w:rsidRDefault="00662EB6" w:rsidP="00D86BFF">
      <w:pPr>
        <w:widowControl w:val="0"/>
        <w:spacing w:line="276" w:lineRule="auto"/>
        <w:ind w:firstLine="545"/>
        <w:jc w:val="both"/>
      </w:pPr>
      <w:r>
        <w:t>Расходы п</w:t>
      </w:r>
      <w:r w:rsidR="008D34A5">
        <w:t xml:space="preserve">о подразделу </w:t>
      </w:r>
      <w:r w:rsidR="008D34A5" w:rsidRPr="00F3006A">
        <w:rPr>
          <w:b/>
          <w:i/>
        </w:rPr>
        <w:t>04</w:t>
      </w:r>
      <w:r w:rsidR="008D34A5">
        <w:rPr>
          <w:b/>
          <w:i/>
        </w:rPr>
        <w:t>12</w:t>
      </w:r>
      <w:r w:rsidR="008D34A5" w:rsidRPr="00F3006A">
        <w:rPr>
          <w:b/>
          <w:i/>
        </w:rPr>
        <w:t xml:space="preserve"> «Другие вопросы в области национальной</w:t>
      </w:r>
      <w:r w:rsidR="008D34A5">
        <w:rPr>
          <w:b/>
          <w:i/>
        </w:rPr>
        <w:t xml:space="preserve"> экономики</w:t>
      </w:r>
      <w:r w:rsidR="008D34A5" w:rsidRPr="00F3006A">
        <w:rPr>
          <w:b/>
          <w:i/>
        </w:rPr>
        <w:t>»</w:t>
      </w:r>
      <w:r w:rsidR="008D34A5">
        <w:t xml:space="preserve"> </w:t>
      </w:r>
      <w:r>
        <w:t xml:space="preserve">произведены в размере </w:t>
      </w:r>
      <w:r w:rsidR="005C503C">
        <w:t>30 000</w:t>
      </w:r>
      <w:r>
        <w:t xml:space="preserve">,00 рублей или </w:t>
      </w:r>
      <w:r w:rsidR="005C503C">
        <w:t>6,5</w:t>
      </w:r>
      <w:r>
        <w:t>% от запланированных бюджетных ассигнований (</w:t>
      </w:r>
      <w:r w:rsidR="005C503C">
        <w:t>46</w:t>
      </w:r>
      <w:r>
        <w:t>0 000,00 рублей).</w:t>
      </w:r>
    </w:p>
    <w:p w:rsidR="00662EB6" w:rsidRDefault="00662EB6" w:rsidP="00662EB6">
      <w:pPr>
        <w:widowControl w:val="0"/>
        <w:spacing w:line="276" w:lineRule="auto"/>
        <w:ind w:firstLine="545"/>
        <w:jc w:val="both"/>
      </w:pPr>
    </w:p>
    <w:p w:rsidR="00FA17DD" w:rsidRDefault="005357C1" w:rsidP="00D86BFF">
      <w:pPr>
        <w:widowControl w:val="0"/>
        <w:spacing w:line="276" w:lineRule="auto"/>
        <w:ind w:firstLine="567"/>
        <w:jc w:val="both"/>
      </w:pPr>
      <w:r w:rsidRPr="00472D01">
        <w:t xml:space="preserve">По разделу </w:t>
      </w:r>
      <w:r w:rsidRPr="00472D01">
        <w:rPr>
          <w:b/>
          <w:bCs/>
        </w:rPr>
        <w:t xml:space="preserve">0500 «Жилищно-коммунальное хозяйство» </w:t>
      </w:r>
      <w:r w:rsidRPr="00472D01">
        <w:rPr>
          <w:bCs/>
        </w:rPr>
        <w:t>расходы</w:t>
      </w:r>
      <w:r w:rsidR="002B5758" w:rsidRPr="00472D01">
        <w:rPr>
          <w:bCs/>
        </w:rPr>
        <w:t xml:space="preserve"> </w:t>
      </w:r>
      <w:r w:rsidRPr="00472D01">
        <w:t>на 01.0</w:t>
      </w:r>
      <w:r w:rsidR="004E2028">
        <w:t>7</w:t>
      </w:r>
      <w:r w:rsidR="00DF22C8" w:rsidRPr="00472D01">
        <w:t>.202</w:t>
      </w:r>
      <w:r w:rsidR="005C503C">
        <w:t>4</w:t>
      </w:r>
      <w:r w:rsidR="00F3676A" w:rsidRPr="00472D01">
        <w:t xml:space="preserve"> года </w:t>
      </w:r>
      <w:r w:rsidR="00662EB6">
        <w:t>про</w:t>
      </w:r>
      <w:r w:rsidR="009256CF">
        <w:t>изведены в сумме</w:t>
      </w:r>
      <w:r w:rsidRPr="00472D01">
        <w:t xml:space="preserve"> </w:t>
      </w:r>
      <w:r w:rsidR="005C503C">
        <w:t>12 075 718,56</w:t>
      </w:r>
      <w:r w:rsidR="00F66527" w:rsidRPr="00472D01">
        <w:t xml:space="preserve"> </w:t>
      </w:r>
      <w:r w:rsidRPr="00472D01">
        <w:t xml:space="preserve">рублей или </w:t>
      </w:r>
      <w:r w:rsidR="005C503C">
        <w:t>27,2</w:t>
      </w:r>
      <w:r w:rsidRPr="00472D01">
        <w:t>% от суммы утвержденных бюджетных назначений</w:t>
      </w:r>
      <w:r w:rsidR="00F66527" w:rsidRPr="00472D01">
        <w:t xml:space="preserve"> (</w:t>
      </w:r>
      <w:r w:rsidR="005C503C">
        <w:t>44 377 766,52</w:t>
      </w:r>
      <w:r w:rsidR="00F66527" w:rsidRPr="00472D01">
        <w:t xml:space="preserve"> рублей)</w:t>
      </w:r>
      <w:r w:rsidR="00564B1B" w:rsidRPr="00472D01">
        <w:t>. Расходы</w:t>
      </w:r>
      <w:r w:rsidR="00FA17DD" w:rsidRPr="00472D01">
        <w:t xml:space="preserve"> бюджета по данному разделу </w:t>
      </w:r>
      <w:r w:rsidR="005318C0">
        <w:t>у</w:t>
      </w:r>
      <w:r w:rsidR="005C503C">
        <w:t>величились</w:t>
      </w:r>
      <w:r w:rsidR="00E859B3" w:rsidRPr="00472D01">
        <w:t xml:space="preserve"> к аналогичному периоду</w:t>
      </w:r>
      <w:r w:rsidR="00662EB6">
        <w:t xml:space="preserve"> </w:t>
      </w:r>
      <w:r w:rsidR="00253AF9">
        <w:t>202</w:t>
      </w:r>
      <w:r w:rsidR="005C503C">
        <w:t>3</w:t>
      </w:r>
      <w:r w:rsidR="00FA17DD" w:rsidRPr="00472D01">
        <w:t xml:space="preserve"> года</w:t>
      </w:r>
      <w:r w:rsidR="00F66527" w:rsidRPr="00472D01">
        <w:t xml:space="preserve"> (</w:t>
      </w:r>
      <w:r w:rsidR="005C503C">
        <w:t>6 822 873,23</w:t>
      </w:r>
      <w:r w:rsidR="00E859B3" w:rsidRPr="00472D01">
        <w:t xml:space="preserve"> </w:t>
      </w:r>
      <w:r w:rsidR="00F66527" w:rsidRPr="00472D01">
        <w:t>рублей)</w:t>
      </w:r>
      <w:r w:rsidR="00E859B3" w:rsidRPr="00472D01">
        <w:t xml:space="preserve"> на </w:t>
      </w:r>
      <w:r w:rsidR="005C503C">
        <w:t>5 252 845,33</w:t>
      </w:r>
      <w:r w:rsidR="00E859B3" w:rsidRPr="00472D01">
        <w:t xml:space="preserve"> рублей или </w:t>
      </w:r>
      <w:r w:rsidR="005C503C">
        <w:t>77,0</w:t>
      </w:r>
      <w:r w:rsidR="00E859B3" w:rsidRPr="00472D01">
        <w:t>%.</w:t>
      </w:r>
    </w:p>
    <w:p w:rsidR="00AF4D9F" w:rsidRPr="00472D01" w:rsidRDefault="00AF4D9F" w:rsidP="00D86BFF">
      <w:pPr>
        <w:widowControl w:val="0"/>
        <w:shd w:val="clear" w:color="auto" w:fill="FFFFFF"/>
        <w:spacing w:line="276" w:lineRule="auto"/>
        <w:ind w:right="50" w:firstLine="545"/>
        <w:jc w:val="both"/>
      </w:pPr>
      <w:r w:rsidRPr="00472D01">
        <w:t>Исполнение расходов в разрезе подразделов сложилось следующим образом:</w:t>
      </w:r>
    </w:p>
    <w:p w:rsidR="00AF4D9F" w:rsidRDefault="00AF4D9F" w:rsidP="00D86BFF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472D01">
        <w:t xml:space="preserve">расходы по подразделу </w:t>
      </w:r>
      <w:r w:rsidRPr="00472D01">
        <w:rPr>
          <w:b/>
          <w:i/>
        </w:rPr>
        <w:t>0501 «Жилищное хозяйство»</w:t>
      </w:r>
      <w:r w:rsidRPr="00472D01">
        <w:rPr>
          <w:b/>
        </w:rPr>
        <w:t xml:space="preserve"> </w:t>
      </w:r>
      <w:r w:rsidRPr="00472D01">
        <w:t xml:space="preserve">исполнены в сумме </w:t>
      </w:r>
      <w:r w:rsidR="005C503C">
        <w:t>144 912,07</w:t>
      </w:r>
      <w:r w:rsidRPr="00857C67">
        <w:t xml:space="preserve"> рублей или </w:t>
      </w:r>
      <w:r w:rsidR="00662EB6">
        <w:t>24</w:t>
      </w:r>
      <w:r w:rsidR="005C503C">
        <w:t>,5</w:t>
      </w:r>
      <w:r w:rsidRPr="00857C67">
        <w:t>%</w:t>
      </w:r>
      <w:r w:rsidRPr="00472D01">
        <w:t xml:space="preserve"> от утвержденных бюджетных назначений (</w:t>
      </w:r>
      <w:r w:rsidR="005C503C">
        <w:t>592 000,00</w:t>
      </w:r>
      <w:r w:rsidRPr="00472D01">
        <w:t xml:space="preserve"> рублей);</w:t>
      </w:r>
    </w:p>
    <w:p w:rsidR="009256CF" w:rsidRPr="00D86BFF" w:rsidRDefault="009256CF" w:rsidP="00D86BFF">
      <w:pPr>
        <w:widowControl w:val="0"/>
        <w:spacing w:line="276" w:lineRule="auto"/>
        <w:ind w:firstLine="567"/>
        <w:jc w:val="both"/>
      </w:pPr>
      <w:r>
        <w:t xml:space="preserve">по подразделу </w:t>
      </w:r>
      <w:r w:rsidR="004E2028" w:rsidRPr="00472D01">
        <w:rPr>
          <w:b/>
          <w:i/>
        </w:rPr>
        <w:t>050</w:t>
      </w:r>
      <w:r w:rsidR="004E2028">
        <w:rPr>
          <w:b/>
          <w:i/>
        </w:rPr>
        <w:t>2</w:t>
      </w:r>
      <w:r w:rsidR="004E2028" w:rsidRPr="00472D01">
        <w:rPr>
          <w:b/>
          <w:i/>
        </w:rPr>
        <w:t xml:space="preserve"> «</w:t>
      </w:r>
      <w:r w:rsidR="004E2028">
        <w:rPr>
          <w:b/>
          <w:i/>
        </w:rPr>
        <w:t xml:space="preserve">Коммунальное </w:t>
      </w:r>
      <w:r w:rsidR="004E2028" w:rsidRPr="00472D01">
        <w:rPr>
          <w:b/>
          <w:i/>
        </w:rPr>
        <w:t xml:space="preserve"> хозяйство»</w:t>
      </w:r>
      <w:r w:rsidR="004E2028" w:rsidRPr="00472D01">
        <w:rPr>
          <w:b/>
        </w:rPr>
        <w:t xml:space="preserve"> </w:t>
      </w:r>
      <w:r w:rsidRPr="009256CF">
        <w:t>при</w:t>
      </w:r>
      <w:r>
        <w:rPr>
          <w:b/>
        </w:rPr>
        <w:t xml:space="preserve"> </w:t>
      </w:r>
      <w:r w:rsidRPr="00472D01">
        <w:t>утвержденных бюджетных назначений</w:t>
      </w:r>
      <w:r>
        <w:t xml:space="preserve"> (3</w:t>
      </w:r>
      <w:r w:rsidR="005C503C">
        <w:t xml:space="preserve">0 600 855,80 </w:t>
      </w:r>
      <w:r>
        <w:t>рублей) наблюдается низкий уровень исполнения 1</w:t>
      </w:r>
      <w:r w:rsidR="005C503C">
        <w:t>1</w:t>
      </w:r>
      <w:r>
        <w:t>,8</w:t>
      </w:r>
      <w:r w:rsidRPr="000968CC">
        <w:t>%</w:t>
      </w:r>
      <w:r>
        <w:t xml:space="preserve"> </w:t>
      </w:r>
      <w:r w:rsidRPr="00D86BFF">
        <w:t xml:space="preserve">или </w:t>
      </w:r>
      <w:r w:rsidR="005C503C" w:rsidRPr="00D86BFF">
        <w:t>3 624 784,83</w:t>
      </w:r>
      <w:r w:rsidR="004E2028" w:rsidRPr="00D86BFF">
        <w:t xml:space="preserve"> рублей</w:t>
      </w:r>
      <w:r w:rsidRPr="00D86BFF">
        <w:t xml:space="preserve">. </w:t>
      </w:r>
    </w:p>
    <w:p w:rsidR="009256CF" w:rsidRDefault="009256CF" w:rsidP="00D86BFF">
      <w:pPr>
        <w:tabs>
          <w:tab w:val="left" w:pos="567"/>
        </w:tabs>
        <w:spacing w:line="276" w:lineRule="auto"/>
        <w:jc w:val="both"/>
        <w:rPr>
          <w:i/>
        </w:rPr>
      </w:pPr>
      <w:r w:rsidRPr="00D86BFF">
        <w:rPr>
          <w:kern w:val="36"/>
        </w:rPr>
        <w:t xml:space="preserve">        </w:t>
      </w:r>
      <w:r w:rsidR="00F236E4" w:rsidRPr="00D86BFF">
        <w:rPr>
          <w:kern w:val="36"/>
        </w:rPr>
        <w:t>В</w:t>
      </w:r>
      <w:r w:rsidRPr="00D86BFF">
        <w:rPr>
          <w:kern w:val="36"/>
        </w:rPr>
        <w:t xml:space="preserve"> пояснительной записке</w:t>
      </w:r>
      <w:r w:rsidR="00F236E4" w:rsidRPr="00D86BFF">
        <w:rPr>
          <w:kern w:val="36"/>
        </w:rPr>
        <w:t xml:space="preserve"> отсутствует информация о низком уровне исполнения по данному подразделу расходов.</w:t>
      </w:r>
      <w:r w:rsidR="00F236E4" w:rsidRPr="00F236E4">
        <w:rPr>
          <w:kern w:val="36"/>
        </w:rPr>
        <w:t xml:space="preserve"> </w:t>
      </w:r>
    </w:p>
    <w:p w:rsidR="00AF4D9F" w:rsidRPr="00472D01" w:rsidRDefault="00AF4D9F" w:rsidP="00D86BFF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472D01">
        <w:t xml:space="preserve">расходы по подразделу </w:t>
      </w:r>
      <w:r w:rsidRPr="00472D01">
        <w:rPr>
          <w:b/>
          <w:i/>
        </w:rPr>
        <w:t>0503 «Благоустройство»</w:t>
      </w:r>
      <w:r w:rsidRPr="00472D01">
        <w:rPr>
          <w:b/>
        </w:rPr>
        <w:t xml:space="preserve"> </w:t>
      </w:r>
      <w:r w:rsidRPr="00472D01">
        <w:t xml:space="preserve">исполнены в сумме </w:t>
      </w:r>
      <w:r w:rsidR="005C503C">
        <w:t>8 306 021,66</w:t>
      </w:r>
      <w:r w:rsidRPr="00857C67">
        <w:t xml:space="preserve"> рублей или </w:t>
      </w:r>
      <w:r w:rsidR="005C503C">
        <w:t>63,0</w:t>
      </w:r>
      <w:r w:rsidRPr="00857C67">
        <w:t>% от</w:t>
      </w:r>
      <w:r w:rsidRPr="00472D01">
        <w:t xml:space="preserve"> утвержденных бюджетных назначений</w:t>
      </w:r>
      <w:r w:rsidR="00E16A39" w:rsidRPr="00472D01">
        <w:t xml:space="preserve">                </w:t>
      </w:r>
      <w:r w:rsidRPr="00472D01">
        <w:t xml:space="preserve"> (</w:t>
      </w:r>
      <w:r w:rsidR="005C503C">
        <w:t>13 184 910,72</w:t>
      </w:r>
      <w:r w:rsidRPr="00472D01">
        <w:t xml:space="preserve"> рублей);</w:t>
      </w:r>
    </w:p>
    <w:p w:rsidR="00387DBE" w:rsidRPr="00472D01" w:rsidRDefault="00F4402F" w:rsidP="00D86BFF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472D01">
        <w:t xml:space="preserve">По разделу </w:t>
      </w:r>
      <w:r w:rsidRPr="00472D01">
        <w:rPr>
          <w:b/>
          <w:bCs/>
        </w:rPr>
        <w:t>0800 «Культура и кинематография»</w:t>
      </w:r>
      <w:r w:rsidRPr="00472D01">
        <w:t xml:space="preserve"> расходы профинансированы в размере </w:t>
      </w:r>
      <w:r w:rsidR="003F1303">
        <w:t>12 845 093,90</w:t>
      </w:r>
      <w:r w:rsidR="005318C0">
        <w:t xml:space="preserve"> </w:t>
      </w:r>
      <w:r w:rsidR="008345C9" w:rsidRPr="00472D01">
        <w:t xml:space="preserve">рублей, что составляет </w:t>
      </w:r>
      <w:r w:rsidR="003F1303">
        <w:t>32</w:t>
      </w:r>
      <w:r w:rsidR="00662EB6">
        <w:t>,</w:t>
      </w:r>
      <w:r w:rsidR="003F1303">
        <w:t>0</w:t>
      </w:r>
      <w:r w:rsidRPr="00472D01">
        <w:t>% от годовых плановых назначений</w:t>
      </w:r>
      <w:r w:rsidR="009056D5">
        <w:t xml:space="preserve"> (</w:t>
      </w:r>
      <w:r w:rsidR="003F1303">
        <w:t>40 189 100,00</w:t>
      </w:r>
      <w:r w:rsidR="009056D5">
        <w:t xml:space="preserve"> рублей)</w:t>
      </w:r>
      <w:r w:rsidR="00387DBE" w:rsidRPr="00472D01">
        <w:t xml:space="preserve">. </w:t>
      </w:r>
      <w:r w:rsidR="007D02AD" w:rsidRPr="00472D01">
        <w:t xml:space="preserve">По сравнению с </w:t>
      </w:r>
      <w:r w:rsidR="00E207C6" w:rsidRPr="00472D01">
        <w:t>аналогичным периодом 20</w:t>
      </w:r>
      <w:r w:rsidR="005318C0">
        <w:t>2</w:t>
      </w:r>
      <w:r w:rsidR="003F1303">
        <w:t>3</w:t>
      </w:r>
      <w:r w:rsidR="007D02AD" w:rsidRPr="00472D01">
        <w:t xml:space="preserve"> год</w:t>
      </w:r>
      <w:r w:rsidR="00D10EE9" w:rsidRPr="00472D01">
        <w:t xml:space="preserve">а </w:t>
      </w:r>
      <w:r w:rsidR="00AF4D9F" w:rsidRPr="00472D01">
        <w:t>(</w:t>
      </w:r>
      <w:r w:rsidR="00DE4687">
        <w:t>9 440 895,50</w:t>
      </w:r>
      <w:r w:rsidR="005265BC">
        <w:t xml:space="preserve"> </w:t>
      </w:r>
      <w:r w:rsidR="00E207C6" w:rsidRPr="00472D01">
        <w:t>рублей</w:t>
      </w:r>
      <w:r w:rsidR="00AF4D9F" w:rsidRPr="00472D01">
        <w:t>)</w:t>
      </w:r>
      <w:r w:rsidR="006734E1" w:rsidRPr="00472D01">
        <w:t xml:space="preserve"> </w:t>
      </w:r>
      <w:r w:rsidR="007D02AD" w:rsidRPr="00472D01">
        <w:t xml:space="preserve">по данному разделу </w:t>
      </w:r>
      <w:r w:rsidR="002E5D32" w:rsidRPr="00472D01">
        <w:t xml:space="preserve">расходы </w:t>
      </w:r>
      <w:r w:rsidR="005265BC">
        <w:t xml:space="preserve">профинансированы </w:t>
      </w:r>
      <w:r w:rsidR="00D53A2D">
        <w:t xml:space="preserve">больше </w:t>
      </w:r>
      <w:r w:rsidR="00510B4A" w:rsidRPr="00472D01">
        <w:t xml:space="preserve">на </w:t>
      </w:r>
      <w:r w:rsidR="00DE4687">
        <w:t>3 404 198,40</w:t>
      </w:r>
      <w:r w:rsidR="0032462A" w:rsidRPr="00472D01">
        <w:t xml:space="preserve"> </w:t>
      </w:r>
      <w:r w:rsidR="00510B4A" w:rsidRPr="00472D01">
        <w:t xml:space="preserve">рублей </w:t>
      </w:r>
      <w:r w:rsidR="00992511">
        <w:t xml:space="preserve"> </w:t>
      </w:r>
      <w:r w:rsidR="00510B4A" w:rsidRPr="00472D01">
        <w:t>или на</w:t>
      </w:r>
      <w:r w:rsidR="006734E1" w:rsidRPr="00472D01">
        <w:t xml:space="preserve"> </w:t>
      </w:r>
      <w:r w:rsidR="00DE4687">
        <w:t>36,1</w:t>
      </w:r>
      <w:r w:rsidR="007D02AD" w:rsidRPr="00472D01">
        <w:t>%</w:t>
      </w:r>
      <w:r w:rsidR="007D5E22" w:rsidRPr="00472D01">
        <w:t>.</w:t>
      </w:r>
      <w:r w:rsidR="004332A3" w:rsidRPr="00472D01">
        <w:t xml:space="preserve"> </w:t>
      </w:r>
    </w:p>
    <w:p w:rsidR="00574151" w:rsidRPr="00472D01" w:rsidRDefault="0032462A" w:rsidP="00D86BFF">
      <w:pPr>
        <w:spacing w:line="276" w:lineRule="auto"/>
        <w:ind w:firstLine="540"/>
        <w:jc w:val="both"/>
        <w:outlineLvl w:val="3"/>
      </w:pPr>
      <w:r w:rsidRPr="00472D01">
        <w:rPr>
          <w:bCs/>
        </w:rPr>
        <w:t>Расходы по разделу</w:t>
      </w:r>
      <w:r w:rsidRPr="00472D01">
        <w:rPr>
          <w:b/>
          <w:bCs/>
        </w:rPr>
        <w:t xml:space="preserve"> 1100 «Физическая культура и спорт» </w:t>
      </w:r>
      <w:r w:rsidRPr="00472D01">
        <w:t xml:space="preserve">профинансированы в сумме </w:t>
      </w:r>
      <w:r w:rsidR="00DE4687">
        <w:t>189 533,50</w:t>
      </w:r>
      <w:r w:rsidRPr="00472D01">
        <w:t xml:space="preserve"> рублей, что составляет </w:t>
      </w:r>
      <w:r w:rsidR="00D53A2D">
        <w:t>37,</w:t>
      </w:r>
      <w:r w:rsidR="00DE4687">
        <w:t>9</w:t>
      </w:r>
      <w:r w:rsidRPr="00472D01">
        <w:t xml:space="preserve">% к годовым плановым назначениям, предусмотренным в размере </w:t>
      </w:r>
      <w:r w:rsidR="00DE4687">
        <w:t>5</w:t>
      </w:r>
      <w:r w:rsidR="00D53A2D">
        <w:t>00</w:t>
      </w:r>
      <w:r w:rsidR="005318C0">
        <w:t> 000,00</w:t>
      </w:r>
      <w:r w:rsidR="00B30AF6">
        <w:t xml:space="preserve"> </w:t>
      </w:r>
      <w:r w:rsidR="00574151" w:rsidRPr="00472D01">
        <w:t xml:space="preserve">рублей. Расходы бюджета по данному разделу </w:t>
      </w:r>
      <w:r w:rsidR="00DE4687">
        <w:t xml:space="preserve">увеличились </w:t>
      </w:r>
      <w:r w:rsidR="001C633C" w:rsidRPr="00472D01">
        <w:t xml:space="preserve">на </w:t>
      </w:r>
      <w:r w:rsidR="00DE4687">
        <w:t>113 933,50</w:t>
      </w:r>
      <w:r w:rsidR="005318C0">
        <w:t xml:space="preserve"> или на </w:t>
      </w:r>
      <w:r w:rsidR="00DE4687">
        <w:t>150,7</w:t>
      </w:r>
      <w:r w:rsidR="0067349F" w:rsidRPr="00472D01">
        <w:t xml:space="preserve"> </w:t>
      </w:r>
      <w:r w:rsidR="001C633C" w:rsidRPr="00472D01">
        <w:t>% к аналогичному периоду 20</w:t>
      </w:r>
      <w:r w:rsidR="00B30AF6">
        <w:t>2</w:t>
      </w:r>
      <w:r w:rsidR="0094134E">
        <w:t>3</w:t>
      </w:r>
      <w:r w:rsidR="001C633C" w:rsidRPr="00472D01">
        <w:t xml:space="preserve"> года</w:t>
      </w:r>
      <w:r w:rsidR="0067349F" w:rsidRPr="00472D01">
        <w:t xml:space="preserve"> (</w:t>
      </w:r>
      <w:r w:rsidR="0094134E">
        <w:t>75 600,</w:t>
      </w:r>
      <w:r w:rsidR="00D53A2D">
        <w:t>00</w:t>
      </w:r>
      <w:r w:rsidR="0067349F" w:rsidRPr="00472D01">
        <w:t xml:space="preserve"> рублей)</w:t>
      </w:r>
      <w:r w:rsidR="001C633C" w:rsidRPr="00472D01">
        <w:t xml:space="preserve">. </w:t>
      </w:r>
      <w:r w:rsidR="00574151" w:rsidRPr="00472D01">
        <w:t xml:space="preserve"> </w:t>
      </w:r>
    </w:p>
    <w:p w:rsidR="0032462A" w:rsidRDefault="0032462A" w:rsidP="00D86BFF">
      <w:pPr>
        <w:spacing w:line="276" w:lineRule="auto"/>
        <w:ind w:firstLine="567"/>
        <w:jc w:val="both"/>
        <w:outlineLvl w:val="3"/>
        <w:rPr>
          <w:i/>
        </w:rPr>
      </w:pPr>
      <w:r w:rsidRPr="00472D01">
        <w:t>Все бюджетные ассигнования предусмотрены по подразделу 1101</w:t>
      </w:r>
      <w:r w:rsidRPr="00472D01">
        <w:rPr>
          <w:i/>
        </w:rPr>
        <w:t>«Физическая культура».</w:t>
      </w:r>
    </w:p>
    <w:p w:rsidR="00221939" w:rsidRDefault="00221939" w:rsidP="00D86BFF">
      <w:pPr>
        <w:spacing w:line="276" w:lineRule="auto"/>
        <w:ind w:firstLine="567"/>
        <w:jc w:val="both"/>
        <w:outlineLvl w:val="3"/>
        <w:rPr>
          <w:i/>
        </w:rPr>
      </w:pPr>
    </w:p>
    <w:p w:rsidR="00D44916" w:rsidRPr="00E54737" w:rsidRDefault="00221939" w:rsidP="00D86BFF">
      <w:pPr>
        <w:shd w:val="clear" w:color="auto" w:fill="FFFFFF"/>
        <w:spacing w:line="276" w:lineRule="auto"/>
        <w:ind w:firstLine="567"/>
        <w:jc w:val="both"/>
        <w:rPr>
          <w:lang w:eastAsia="ar-SA"/>
        </w:rPr>
      </w:pPr>
      <w:r w:rsidRPr="00E54737">
        <w:t>Согласно отчету, об исполнении бюджета (ф. 0503117) на 01.0</w:t>
      </w:r>
      <w:r w:rsidR="0094134E" w:rsidRPr="00E54737">
        <w:t>7</w:t>
      </w:r>
      <w:r w:rsidRPr="00E54737">
        <w:t>.202</w:t>
      </w:r>
      <w:r w:rsidR="0094134E" w:rsidRPr="00E54737">
        <w:t>4</w:t>
      </w:r>
      <w:r w:rsidRPr="00E54737">
        <w:t>г. о</w:t>
      </w:r>
      <w:r w:rsidRPr="00E54737">
        <w:rPr>
          <w:lang w:eastAsia="ar-SA"/>
        </w:rPr>
        <w:t>бщая сумма расходов, про</w:t>
      </w:r>
      <w:r w:rsidR="000021A4" w:rsidRPr="00E54737">
        <w:rPr>
          <w:lang w:eastAsia="ar-SA"/>
        </w:rPr>
        <w:t>изведенных в рамках муниципальной программы «Реализация муниципальной политики на территории муниципального образования Саракташский поссов</w:t>
      </w:r>
      <w:r w:rsidR="00295F20" w:rsidRPr="00E54737">
        <w:rPr>
          <w:lang w:eastAsia="ar-SA"/>
        </w:rPr>
        <w:t>е</w:t>
      </w:r>
      <w:r w:rsidR="000021A4" w:rsidRPr="00E54737">
        <w:rPr>
          <w:lang w:eastAsia="ar-SA"/>
        </w:rPr>
        <w:t xml:space="preserve">т </w:t>
      </w:r>
      <w:r w:rsidR="00295F20" w:rsidRPr="00E54737">
        <w:rPr>
          <w:lang w:eastAsia="ar-SA"/>
        </w:rPr>
        <w:t>Саракташского района Оренбургской области</w:t>
      </w:r>
      <w:r w:rsidR="004079B2" w:rsidRPr="00E54737">
        <w:rPr>
          <w:lang w:eastAsia="ar-SA"/>
        </w:rPr>
        <w:t>»</w:t>
      </w:r>
      <w:r w:rsidR="00295F20" w:rsidRPr="00E54737">
        <w:rPr>
          <w:lang w:eastAsia="ar-SA"/>
        </w:rPr>
        <w:t xml:space="preserve"> за</w:t>
      </w:r>
      <w:r w:rsidRPr="00E54737">
        <w:rPr>
          <w:lang w:eastAsia="ar-SA"/>
        </w:rPr>
        <w:t xml:space="preserve"> 1 полугодие 202</w:t>
      </w:r>
      <w:r w:rsidR="00E54737" w:rsidRPr="00E54737">
        <w:rPr>
          <w:lang w:eastAsia="ar-SA"/>
        </w:rPr>
        <w:t>4</w:t>
      </w:r>
      <w:r w:rsidRPr="00E54737">
        <w:rPr>
          <w:lang w:eastAsia="ar-SA"/>
        </w:rPr>
        <w:t xml:space="preserve"> года составила </w:t>
      </w:r>
      <w:r w:rsidR="00E54737" w:rsidRPr="00E54737">
        <w:rPr>
          <w:lang w:eastAsia="ar-SA"/>
        </w:rPr>
        <w:t>63 303 719,39</w:t>
      </w:r>
      <w:r w:rsidRPr="00E54737">
        <w:rPr>
          <w:lang w:eastAsia="ar-SA"/>
        </w:rPr>
        <w:t xml:space="preserve"> рублей или </w:t>
      </w:r>
      <w:r w:rsidR="00E54737" w:rsidRPr="00E54737">
        <w:rPr>
          <w:lang w:eastAsia="ar-SA"/>
        </w:rPr>
        <w:t>41,4</w:t>
      </w:r>
      <w:r w:rsidRPr="00E54737">
        <w:rPr>
          <w:lang w:eastAsia="ar-SA"/>
        </w:rPr>
        <w:t>% от общего объема утвержденных бюджетных назначений (</w:t>
      </w:r>
      <w:r w:rsidR="00E54737" w:rsidRPr="00E54737">
        <w:rPr>
          <w:lang w:eastAsia="ar-SA"/>
        </w:rPr>
        <w:t>152 995 746,52</w:t>
      </w:r>
      <w:r w:rsidRPr="00E54737">
        <w:rPr>
          <w:lang w:eastAsia="ar-SA"/>
        </w:rPr>
        <w:t xml:space="preserve"> рублей).</w:t>
      </w:r>
      <w:r w:rsidR="00295F20" w:rsidRPr="00E54737">
        <w:rPr>
          <w:lang w:eastAsia="ar-SA"/>
        </w:rPr>
        <w:t xml:space="preserve"> </w:t>
      </w:r>
    </w:p>
    <w:p w:rsidR="00221939" w:rsidRPr="00E54737" w:rsidRDefault="00221939" w:rsidP="00637592">
      <w:pPr>
        <w:shd w:val="clear" w:color="auto" w:fill="FFFFFF"/>
        <w:spacing w:line="276" w:lineRule="auto"/>
        <w:ind w:firstLine="567"/>
        <w:jc w:val="both"/>
        <w:rPr>
          <w:lang w:eastAsia="ar-SA"/>
        </w:rPr>
      </w:pPr>
      <w:r w:rsidRPr="00E54737">
        <w:rPr>
          <w:lang w:eastAsia="ar-SA"/>
        </w:rPr>
        <w:t>Доля расходов на муниципальные программы в общих расхо</w:t>
      </w:r>
      <w:r w:rsidR="00846AB0" w:rsidRPr="00E54737">
        <w:rPr>
          <w:lang w:eastAsia="ar-SA"/>
        </w:rPr>
        <w:t xml:space="preserve">дах местного бюджета составляет </w:t>
      </w:r>
      <w:r w:rsidR="00E54737" w:rsidRPr="00E54737">
        <w:rPr>
          <w:lang w:eastAsia="ar-SA"/>
        </w:rPr>
        <w:t>99,6</w:t>
      </w:r>
      <w:r w:rsidRPr="00E54737">
        <w:rPr>
          <w:lang w:eastAsia="ar-SA"/>
        </w:rPr>
        <w:t>%.</w:t>
      </w:r>
    </w:p>
    <w:p w:rsidR="00221939" w:rsidRPr="00E54737" w:rsidRDefault="00221939" w:rsidP="00637592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  <w:r w:rsidRPr="00E54737">
        <w:rPr>
          <w:bCs/>
        </w:rPr>
        <w:t xml:space="preserve">        Непрограммные мероприятия сложились в сумме </w:t>
      </w:r>
      <w:r w:rsidR="00E54737" w:rsidRPr="00E54737">
        <w:rPr>
          <w:bCs/>
        </w:rPr>
        <w:t>282 808,53</w:t>
      </w:r>
      <w:r w:rsidRPr="00E54737">
        <w:rPr>
          <w:bCs/>
        </w:rPr>
        <w:t xml:space="preserve"> рублей, или </w:t>
      </w:r>
      <w:r w:rsidR="00E54737" w:rsidRPr="00E54737">
        <w:rPr>
          <w:bCs/>
        </w:rPr>
        <w:t>0,4</w:t>
      </w:r>
      <w:r w:rsidRPr="00E54737">
        <w:rPr>
          <w:bCs/>
        </w:rPr>
        <w:t>% в общей сумме расходов.</w:t>
      </w:r>
    </w:p>
    <w:p w:rsidR="009256CF" w:rsidRPr="00E54737" w:rsidRDefault="009256CF" w:rsidP="00637592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</w:p>
    <w:p w:rsidR="009256CF" w:rsidRPr="009256CF" w:rsidRDefault="009256CF" w:rsidP="009256CF">
      <w:pPr>
        <w:widowControl w:val="0"/>
        <w:jc w:val="center"/>
        <w:rPr>
          <w:b/>
          <w:bCs/>
          <w:i/>
        </w:rPr>
      </w:pPr>
      <w:r>
        <w:rPr>
          <w:b/>
          <w:bCs/>
          <w:i/>
        </w:rPr>
        <w:t>5</w:t>
      </w:r>
      <w:r w:rsidRPr="009256CF">
        <w:rPr>
          <w:b/>
          <w:bCs/>
          <w:i/>
        </w:rPr>
        <w:t>. Дебиторская и кредиторская задолженность</w:t>
      </w:r>
    </w:p>
    <w:p w:rsidR="009256CF" w:rsidRPr="00745118" w:rsidRDefault="009256CF" w:rsidP="00637592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</w:p>
    <w:p w:rsidR="00221939" w:rsidRPr="00F63618" w:rsidRDefault="00221939" w:rsidP="00D86BFF">
      <w:pPr>
        <w:widowControl w:val="0"/>
        <w:spacing w:line="276" w:lineRule="auto"/>
        <w:ind w:firstLine="567"/>
        <w:jc w:val="both"/>
        <w:rPr>
          <w:color w:val="000000"/>
        </w:rPr>
      </w:pPr>
      <w:r w:rsidRPr="00F63618">
        <w:rPr>
          <w:color w:val="000000"/>
        </w:rPr>
        <w:t>Согласно сведениям о дебиторской и кредиторской задолженности ф. 0503169 по состоянию на 01.0</w:t>
      </w:r>
      <w:r>
        <w:rPr>
          <w:color w:val="000000"/>
        </w:rPr>
        <w:t>7</w:t>
      </w:r>
      <w:r w:rsidRPr="00F63618">
        <w:rPr>
          <w:color w:val="000000"/>
        </w:rPr>
        <w:t>.202</w:t>
      </w:r>
      <w:r w:rsidR="00E54737">
        <w:rPr>
          <w:color w:val="000000"/>
        </w:rPr>
        <w:t>4</w:t>
      </w:r>
      <w:r w:rsidRPr="00F63618">
        <w:rPr>
          <w:color w:val="000000"/>
        </w:rPr>
        <w:t xml:space="preserve"> года числилась:</w:t>
      </w:r>
    </w:p>
    <w:p w:rsidR="008B4427" w:rsidRDefault="00221939" w:rsidP="00D86BFF">
      <w:pPr>
        <w:widowControl w:val="0"/>
        <w:spacing w:line="276" w:lineRule="auto"/>
        <w:ind w:firstLine="567"/>
        <w:jc w:val="both"/>
        <w:rPr>
          <w:color w:val="000000"/>
        </w:rPr>
      </w:pPr>
      <w:r w:rsidRPr="00CB0E9B">
        <w:rPr>
          <w:b/>
          <w:color w:val="000000"/>
        </w:rPr>
        <w:t>дебиторская задолженность</w:t>
      </w:r>
      <w:r w:rsidRPr="00F63618">
        <w:rPr>
          <w:color w:val="000000"/>
        </w:rPr>
        <w:t xml:space="preserve"> на начало года в сумме </w:t>
      </w:r>
      <w:r w:rsidR="00E54737">
        <w:rPr>
          <w:color w:val="000000"/>
        </w:rPr>
        <w:t>201 040 777,29</w:t>
      </w:r>
      <w:r w:rsidR="00DB2F42">
        <w:rPr>
          <w:color w:val="000000"/>
        </w:rPr>
        <w:t xml:space="preserve"> рублей</w:t>
      </w:r>
      <w:r w:rsidRPr="00F63618">
        <w:rPr>
          <w:color w:val="000000"/>
        </w:rPr>
        <w:t xml:space="preserve"> за </w:t>
      </w:r>
      <w:r w:rsidR="00DB2F42">
        <w:rPr>
          <w:color w:val="000000"/>
        </w:rPr>
        <w:t>6</w:t>
      </w:r>
      <w:r w:rsidRPr="00F63618">
        <w:rPr>
          <w:color w:val="000000"/>
        </w:rPr>
        <w:t xml:space="preserve"> месяцев 202</w:t>
      </w:r>
      <w:r w:rsidR="00E54737">
        <w:rPr>
          <w:color w:val="000000"/>
        </w:rPr>
        <w:t>4</w:t>
      </w:r>
      <w:r w:rsidRPr="00F63618">
        <w:rPr>
          <w:color w:val="000000"/>
        </w:rPr>
        <w:t xml:space="preserve"> года у</w:t>
      </w:r>
      <w:r>
        <w:rPr>
          <w:color w:val="000000"/>
        </w:rPr>
        <w:t>меньшилась</w:t>
      </w:r>
      <w:r w:rsidRPr="00F63618">
        <w:rPr>
          <w:color w:val="000000"/>
        </w:rPr>
        <w:t xml:space="preserve"> на </w:t>
      </w:r>
      <w:r w:rsidR="00E54737">
        <w:rPr>
          <w:color w:val="000000"/>
        </w:rPr>
        <w:t>32 754 310,01</w:t>
      </w:r>
      <w:r w:rsidRPr="00F63618">
        <w:rPr>
          <w:color w:val="000000"/>
        </w:rPr>
        <w:t xml:space="preserve"> рублей и составила </w:t>
      </w:r>
      <w:r w:rsidR="00E54737">
        <w:rPr>
          <w:color w:val="000000"/>
        </w:rPr>
        <w:t>168 286 467,28</w:t>
      </w:r>
      <w:r w:rsidRPr="00F63618">
        <w:rPr>
          <w:color w:val="000000"/>
        </w:rPr>
        <w:t xml:space="preserve"> р</w:t>
      </w:r>
      <w:r w:rsidR="00FB39B6">
        <w:rPr>
          <w:color w:val="000000"/>
        </w:rPr>
        <w:t>ублей (на 01.</w:t>
      </w:r>
      <w:r w:rsidRPr="00F63618">
        <w:rPr>
          <w:color w:val="000000"/>
        </w:rPr>
        <w:t>0</w:t>
      </w:r>
      <w:r w:rsidR="00FB39B6">
        <w:rPr>
          <w:color w:val="000000"/>
        </w:rPr>
        <w:t>7</w:t>
      </w:r>
      <w:r w:rsidRPr="00F63618">
        <w:rPr>
          <w:color w:val="000000"/>
        </w:rPr>
        <w:t>.20</w:t>
      </w:r>
      <w:r w:rsidR="00FB39B6">
        <w:rPr>
          <w:color w:val="000000"/>
        </w:rPr>
        <w:t>2</w:t>
      </w:r>
      <w:r w:rsidR="00E54737">
        <w:rPr>
          <w:color w:val="000000"/>
        </w:rPr>
        <w:t>3</w:t>
      </w:r>
      <w:r w:rsidRPr="00F63618">
        <w:rPr>
          <w:color w:val="000000"/>
        </w:rPr>
        <w:t xml:space="preserve">г. – </w:t>
      </w:r>
      <w:r w:rsidR="00E54737">
        <w:rPr>
          <w:color w:val="000000"/>
        </w:rPr>
        <w:t>159 794 925,93</w:t>
      </w:r>
      <w:r w:rsidR="00E54737" w:rsidRPr="00F63618">
        <w:rPr>
          <w:color w:val="000000"/>
        </w:rPr>
        <w:t xml:space="preserve"> </w:t>
      </w:r>
      <w:r w:rsidRPr="00F63618">
        <w:rPr>
          <w:color w:val="000000"/>
        </w:rPr>
        <w:t>рублей). Просроченн</w:t>
      </w:r>
      <w:r w:rsidR="00FB39B6">
        <w:rPr>
          <w:color w:val="000000"/>
        </w:rPr>
        <w:t xml:space="preserve">ая дебиторская </w:t>
      </w:r>
      <w:r w:rsidRPr="00F63618">
        <w:rPr>
          <w:color w:val="000000"/>
        </w:rPr>
        <w:t>задолженность</w:t>
      </w:r>
      <w:r w:rsidR="00FB39B6">
        <w:rPr>
          <w:color w:val="000000"/>
        </w:rPr>
        <w:t xml:space="preserve"> </w:t>
      </w:r>
      <w:r w:rsidRPr="00F63618">
        <w:rPr>
          <w:color w:val="000000"/>
        </w:rPr>
        <w:t xml:space="preserve">по данным бухгалтерской отчетности </w:t>
      </w:r>
      <w:r w:rsidR="00FB39B6">
        <w:rPr>
          <w:color w:val="000000"/>
        </w:rPr>
        <w:t xml:space="preserve">значится в размере </w:t>
      </w:r>
      <w:r w:rsidR="00E54737">
        <w:rPr>
          <w:color w:val="000000"/>
        </w:rPr>
        <w:t>1 366 260,06</w:t>
      </w:r>
      <w:r w:rsidR="00FB39B6">
        <w:rPr>
          <w:color w:val="000000"/>
        </w:rPr>
        <w:t xml:space="preserve"> рублей</w:t>
      </w:r>
      <w:r w:rsidR="009256CF">
        <w:rPr>
          <w:color w:val="000000"/>
        </w:rPr>
        <w:t>.</w:t>
      </w:r>
      <w:r w:rsidRPr="00F63618">
        <w:rPr>
          <w:color w:val="000000"/>
        </w:rPr>
        <w:t xml:space="preserve"> </w:t>
      </w:r>
      <w:r w:rsidR="009256CF" w:rsidRPr="008B4427">
        <w:rPr>
          <w:color w:val="000000"/>
        </w:rPr>
        <w:t>Наибольшую долю в общей сумме задолженности (</w:t>
      </w:r>
      <w:r w:rsidR="00527F3C" w:rsidRPr="008B4427">
        <w:rPr>
          <w:color w:val="000000"/>
        </w:rPr>
        <w:t>99,5</w:t>
      </w:r>
      <w:r w:rsidR="007C028C" w:rsidRPr="008B4427">
        <w:rPr>
          <w:color w:val="000000"/>
        </w:rPr>
        <w:t>%</w:t>
      </w:r>
      <w:r w:rsidR="009256CF" w:rsidRPr="008B4427">
        <w:rPr>
          <w:color w:val="000000"/>
        </w:rPr>
        <w:t xml:space="preserve"> или </w:t>
      </w:r>
      <w:r w:rsidR="00E54737">
        <w:rPr>
          <w:color w:val="000000"/>
        </w:rPr>
        <w:t>167 458 993,81</w:t>
      </w:r>
      <w:r w:rsidR="009256CF" w:rsidRPr="008B4427">
        <w:rPr>
          <w:color w:val="000000"/>
        </w:rPr>
        <w:t xml:space="preserve"> рублей) составляет дебиторская задолженность по счету</w:t>
      </w:r>
      <w:r w:rsidR="008B4427">
        <w:rPr>
          <w:color w:val="000000"/>
        </w:rPr>
        <w:t xml:space="preserve"> </w:t>
      </w:r>
      <w:r w:rsidR="008B4427" w:rsidRPr="008B4427">
        <w:rPr>
          <w:color w:val="000000"/>
        </w:rPr>
        <w:t>120500000</w:t>
      </w:r>
      <w:r w:rsidR="009256CF" w:rsidRPr="008B4427">
        <w:rPr>
          <w:color w:val="000000"/>
        </w:rPr>
        <w:t xml:space="preserve"> «Расчеты по доходам»</w:t>
      </w:r>
      <w:r w:rsidR="008B4427">
        <w:rPr>
          <w:color w:val="000000"/>
        </w:rPr>
        <w:t xml:space="preserve"> </w:t>
      </w:r>
      <w:r w:rsidR="008B4427" w:rsidRPr="008B4427">
        <w:rPr>
          <w:color w:val="000000"/>
        </w:rPr>
        <w:t>из них:</w:t>
      </w:r>
    </w:p>
    <w:p w:rsidR="00CB0E9B" w:rsidRDefault="009256CF" w:rsidP="00D86BFF">
      <w:pPr>
        <w:widowControl w:val="0"/>
        <w:spacing w:line="276" w:lineRule="auto"/>
        <w:ind w:firstLine="567"/>
        <w:jc w:val="both"/>
      </w:pPr>
      <w:r w:rsidRPr="008B4427">
        <w:rPr>
          <w:color w:val="000000"/>
        </w:rPr>
        <w:t xml:space="preserve"> </w:t>
      </w:r>
      <w:r w:rsidR="008B4427">
        <w:rPr>
          <w:color w:val="000000"/>
        </w:rPr>
        <w:t xml:space="preserve">- </w:t>
      </w:r>
      <w:r w:rsidR="00527F3C">
        <w:t xml:space="preserve">по счету 120511000 «Расчеты с плательщиками налоговых доходов» задолженность сложилась в размере </w:t>
      </w:r>
      <w:r w:rsidR="003E0037">
        <w:t>1 698 943,81</w:t>
      </w:r>
      <w:r w:rsidR="00527F3C">
        <w:t xml:space="preserve"> рублей</w:t>
      </w:r>
      <w:r w:rsidR="008B4427">
        <w:t>,</w:t>
      </w:r>
      <w:r w:rsidR="008B4427" w:rsidRPr="008B4427">
        <w:t xml:space="preserve"> </w:t>
      </w:r>
      <w:r w:rsidR="008B4427">
        <w:t xml:space="preserve">в том числе просроченная </w:t>
      </w:r>
      <w:r w:rsidR="003E0037">
        <w:t xml:space="preserve">1 351 760,06 </w:t>
      </w:r>
      <w:r w:rsidR="008B4427">
        <w:t>рублей</w:t>
      </w:r>
      <w:r w:rsidR="0062645A">
        <w:t xml:space="preserve"> (задолженность по ИФНС №7)</w:t>
      </w:r>
      <w:r w:rsidR="00527F3C">
        <w:t xml:space="preserve">; </w:t>
      </w:r>
    </w:p>
    <w:p w:rsidR="00527F3C" w:rsidRDefault="00CB0E9B" w:rsidP="00D86BFF">
      <w:pPr>
        <w:widowControl w:val="0"/>
        <w:spacing w:line="276" w:lineRule="auto"/>
        <w:ind w:firstLine="567"/>
        <w:jc w:val="both"/>
      </w:pPr>
      <w:r>
        <w:t xml:space="preserve">- </w:t>
      </w:r>
      <w:r w:rsidR="00527F3C">
        <w:t xml:space="preserve">по счету 120545000 </w:t>
      </w:r>
      <w:r>
        <w:t>«</w:t>
      </w:r>
      <w:r w:rsidR="00527F3C">
        <w:t>Расчеты по доходам от прочих сумм принудительного изъя</w:t>
      </w:r>
      <w:r>
        <w:t>тия»</w:t>
      </w:r>
      <w:r w:rsidR="00527F3C">
        <w:t xml:space="preserve"> задолженность в сумме 14 500,00 руб., в том числе просроченная 14 500,00 рублей</w:t>
      </w:r>
      <w:r w:rsidR="0062645A">
        <w:t xml:space="preserve"> (ИФНС №7)</w:t>
      </w:r>
      <w:r w:rsidR="00527F3C">
        <w:t>;</w:t>
      </w:r>
    </w:p>
    <w:p w:rsidR="008B4427" w:rsidRDefault="00CB0E9B" w:rsidP="00D86BFF">
      <w:pPr>
        <w:tabs>
          <w:tab w:val="left" w:pos="567"/>
        </w:tabs>
        <w:spacing w:line="276" w:lineRule="auto"/>
        <w:jc w:val="both"/>
      </w:pPr>
      <w:r>
        <w:t xml:space="preserve">        </w:t>
      </w:r>
      <w:r w:rsidR="008B4427">
        <w:t>- по счету 120551000 «Расчеты по безвозмездным поступлениям текущего</w:t>
      </w:r>
      <w:r>
        <w:t xml:space="preserve"> </w:t>
      </w:r>
      <w:r w:rsidR="008B4427">
        <w:t xml:space="preserve">характера» задолженность составляет </w:t>
      </w:r>
      <w:r w:rsidR="003E0037">
        <w:t>138 014 250,00</w:t>
      </w:r>
      <w:r w:rsidR="008B4427">
        <w:t xml:space="preserve"> рублей;</w:t>
      </w:r>
    </w:p>
    <w:p w:rsidR="008B4427" w:rsidRDefault="00CB0E9B" w:rsidP="00D86BFF">
      <w:pPr>
        <w:tabs>
          <w:tab w:val="left" w:pos="567"/>
        </w:tabs>
        <w:spacing w:line="276" w:lineRule="auto"/>
        <w:jc w:val="both"/>
      </w:pPr>
      <w:r>
        <w:t xml:space="preserve">        </w:t>
      </w:r>
      <w:r w:rsidR="008B4427">
        <w:t>- по счету 120561000 «Расчеты по безвозмездным поступлениям</w:t>
      </w:r>
      <w:r>
        <w:t xml:space="preserve"> </w:t>
      </w:r>
      <w:r w:rsidR="008B4427">
        <w:t xml:space="preserve">капитального характера» задолженность составляет </w:t>
      </w:r>
      <w:r w:rsidR="003E0037">
        <w:t>27 731 300,00</w:t>
      </w:r>
      <w:r w:rsidR="008B4427">
        <w:t xml:space="preserve"> рублей</w:t>
      </w:r>
      <w:r>
        <w:t>.</w:t>
      </w:r>
    </w:p>
    <w:p w:rsidR="009256CF" w:rsidRPr="00F93F65" w:rsidRDefault="009256CF" w:rsidP="00D86BFF">
      <w:pPr>
        <w:spacing w:line="276" w:lineRule="auto"/>
        <w:jc w:val="both"/>
        <w:rPr>
          <w:color w:val="000000"/>
        </w:rPr>
      </w:pPr>
      <w:r w:rsidRPr="00D66BA7">
        <w:rPr>
          <w:color w:val="000000"/>
        </w:rPr>
        <w:t xml:space="preserve">        </w:t>
      </w:r>
      <w:r w:rsidRPr="00F93F65">
        <w:rPr>
          <w:color w:val="000000"/>
        </w:rPr>
        <w:t>В пояснительной записке отсутствует информация, в результате чего образовалась дебиторская задолженность по данному коду дохода.</w:t>
      </w:r>
    </w:p>
    <w:p w:rsidR="00CB0E9B" w:rsidRPr="00CB0E9B" w:rsidRDefault="00CB0E9B" w:rsidP="00D86BFF">
      <w:pPr>
        <w:widowControl w:val="0"/>
        <w:spacing w:line="276" w:lineRule="auto"/>
        <w:ind w:firstLine="567"/>
        <w:jc w:val="both"/>
        <w:rPr>
          <w:color w:val="000000"/>
        </w:rPr>
      </w:pPr>
      <w:r w:rsidRPr="00F93F65">
        <w:rPr>
          <w:color w:val="000000"/>
        </w:rPr>
        <w:t>По счету 120600000 «Расчеты по выданным авансам» задолже</w:t>
      </w:r>
      <w:r w:rsidRPr="00CB0E9B">
        <w:rPr>
          <w:color w:val="000000"/>
        </w:rPr>
        <w:t>нность</w:t>
      </w:r>
      <w:r>
        <w:rPr>
          <w:color w:val="000000"/>
        </w:rPr>
        <w:t xml:space="preserve"> </w:t>
      </w:r>
      <w:r w:rsidRPr="00CB0E9B">
        <w:rPr>
          <w:color w:val="000000"/>
        </w:rPr>
        <w:t xml:space="preserve">составляет </w:t>
      </w:r>
      <w:r w:rsidR="003E0037">
        <w:rPr>
          <w:color w:val="000000"/>
        </w:rPr>
        <w:t>827 473,47</w:t>
      </w:r>
      <w:r>
        <w:rPr>
          <w:color w:val="000000"/>
        </w:rPr>
        <w:t xml:space="preserve"> </w:t>
      </w:r>
      <w:r w:rsidRPr="00CB0E9B">
        <w:rPr>
          <w:color w:val="000000"/>
        </w:rPr>
        <w:t>руб</w:t>
      </w:r>
      <w:r>
        <w:rPr>
          <w:color w:val="000000"/>
        </w:rPr>
        <w:t>лей:</w:t>
      </w:r>
    </w:p>
    <w:p w:rsidR="00CB0E9B" w:rsidRPr="00CB0E9B" w:rsidRDefault="00CB0E9B" w:rsidP="00D86BFF">
      <w:pPr>
        <w:widowControl w:val="0"/>
        <w:spacing w:line="276" w:lineRule="auto"/>
        <w:ind w:firstLine="567"/>
        <w:jc w:val="both"/>
        <w:rPr>
          <w:color w:val="FF0000"/>
        </w:rPr>
      </w:pPr>
      <w:r w:rsidRPr="00CB0E9B">
        <w:rPr>
          <w:color w:val="000000"/>
        </w:rPr>
        <w:t xml:space="preserve">- по счету 120621000 «Расчеты по авансам по услугам связи» </w:t>
      </w:r>
      <w:r w:rsidR="003E0037">
        <w:rPr>
          <w:color w:val="000000"/>
        </w:rPr>
        <w:t>14 838,44</w:t>
      </w:r>
      <w:r>
        <w:rPr>
          <w:color w:val="000000"/>
        </w:rPr>
        <w:t xml:space="preserve"> </w:t>
      </w:r>
      <w:r w:rsidRPr="00CB0E9B">
        <w:rPr>
          <w:color w:val="000000"/>
        </w:rPr>
        <w:t>руб</w:t>
      </w:r>
      <w:r>
        <w:rPr>
          <w:color w:val="000000"/>
        </w:rPr>
        <w:t>лей</w:t>
      </w:r>
      <w:r w:rsidR="00D66BA7">
        <w:rPr>
          <w:color w:val="000000"/>
        </w:rPr>
        <w:t xml:space="preserve"> (услуги почтовый связи);</w:t>
      </w:r>
    </w:p>
    <w:p w:rsidR="00F93F65" w:rsidRDefault="00CB0E9B" w:rsidP="00D86BFF">
      <w:pPr>
        <w:widowControl w:val="0"/>
        <w:spacing w:line="276" w:lineRule="auto"/>
        <w:ind w:firstLine="567"/>
        <w:jc w:val="both"/>
      </w:pPr>
      <w:r w:rsidRPr="00CB0E9B">
        <w:rPr>
          <w:color w:val="000000"/>
        </w:rPr>
        <w:t>- по счету 120626000 «Расчеты по авансам по прочим работам, услугам»</w:t>
      </w:r>
      <w:r>
        <w:rPr>
          <w:color w:val="000000"/>
        </w:rPr>
        <w:t xml:space="preserve"> </w:t>
      </w:r>
      <w:r w:rsidRPr="00CB0E9B">
        <w:rPr>
          <w:color w:val="000000"/>
        </w:rPr>
        <w:t xml:space="preserve">задолженность составила </w:t>
      </w:r>
      <w:r w:rsidR="003E0037">
        <w:rPr>
          <w:color w:val="000000"/>
        </w:rPr>
        <w:t>632 935,03</w:t>
      </w:r>
      <w:r>
        <w:rPr>
          <w:color w:val="000000"/>
        </w:rPr>
        <w:t xml:space="preserve"> </w:t>
      </w:r>
      <w:r w:rsidRPr="00CB0E9B">
        <w:rPr>
          <w:color w:val="000000"/>
        </w:rPr>
        <w:t>руб</w:t>
      </w:r>
      <w:r>
        <w:rPr>
          <w:color w:val="000000"/>
        </w:rPr>
        <w:t>лей</w:t>
      </w:r>
      <w:r w:rsidRPr="00CB0E9B">
        <w:rPr>
          <w:color w:val="000000"/>
        </w:rPr>
        <w:t xml:space="preserve">, </w:t>
      </w:r>
      <w:r w:rsidRPr="00676A4D">
        <w:t>в том числе –</w:t>
      </w:r>
      <w:r w:rsidR="00676A4D" w:rsidRPr="00676A4D">
        <w:t xml:space="preserve"> 2 706,78 рублей </w:t>
      </w:r>
      <w:r w:rsidR="00D66BA7" w:rsidRPr="00676A4D">
        <w:t>подписка на печатные издания</w:t>
      </w:r>
      <w:r w:rsidR="00676A4D" w:rsidRPr="00676A4D">
        <w:t xml:space="preserve">; </w:t>
      </w:r>
      <w:r w:rsidR="00F93F65">
        <w:t>630 228,25</w:t>
      </w:r>
      <w:r w:rsidR="00676A4D" w:rsidRPr="00676A4D">
        <w:t xml:space="preserve"> рублей – предоплата за проведение технологического присоединения (электроснабжения, газоснабжения) строящихся объектов по адресу: ул.Геологов16Б и Красноармейская104А; </w:t>
      </w:r>
    </w:p>
    <w:p w:rsidR="00F93F65" w:rsidRDefault="003E0037" w:rsidP="00D86BFF">
      <w:pPr>
        <w:widowControl w:val="0"/>
        <w:spacing w:line="276" w:lineRule="auto"/>
        <w:ind w:firstLine="567"/>
        <w:jc w:val="both"/>
      </w:pPr>
      <w:r w:rsidRPr="00CB0E9B">
        <w:rPr>
          <w:color w:val="000000"/>
        </w:rPr>
        <w:t>- по счету 12062</w:t>
      </w:r>
      <w:r>
        <w:rPr>
          <w:color w:val="000000"/>
        </w:rPr>
        <w:t>8</w:t>
      </w:r>
      <w:r w:rsidRPr="00CB0E9B">
        <w:rPr>
          <w:color w:val="000000"/>
        </w:rPr>
        <w:t>000</w:t>
      </w:r>
      <w:r w:rsidR="00C748C2">
        <w:rPr>
          <w:color w:val="000000"/>
        </w:rPr>
        <w:t xml:space="preserve"> </w:t>
      </w:r>
      <w:r w:rsidR="00C748C2">
        <w:t>«</w:t>
      </w:r>
      <w:r w:rsidR="00C748C2" w:rsidRPr="00DD226C">
        <w:t>Расчеты по авансам по услугам, работам для целей капитальных вложений</w:t>
      </w:r>
      <w:r w:rsidR="00C748C2">
        <w:t>»</w:t>
      </w:r>
      <w:r>
        <w:rPr>
          <w:color w:val="000000"/>
        </w:rPr>
        <w:t xml:space="preserve"> – 179 700,00 рублей</w:t>
      </w:r>
      <w:r w:rsidR="00C748C2">
        <w:rPr>
          <w:color w:val="000000"/>
        </w:rPr>
        <w:t>,</w:t>
      </w:r>
      <w:r w:rsidR="00F93F65">
        <w:rPr>
          <w:color w:val="000000"/>
        </w:rPr>
        <w:t xml:space="preserve"> (предоплата </w:t>
      </w:r>
      <w:r w:rsidR="00F93F65" w:rsidRPr="00676A4D">
        <w:t>по корректировке проектной документации «Наружные сети водоотведения микрорайона Западный»</w:t>
      </w:r>
      <w:r w:rsidR="00F93F65">
        <w:t>)</w:t>
      </w:r>
      <w:r w:rsidR="00F93F65" w:rsidRPr="00676A4D">
        <w:t>;</w:t>
      </w:r>
    </w:p>
    <w:p w:rsidR="003E0037" w:rsidRPr="00D66BA7" w:rsidRDefault="003E0037" w:rsidP="00D86BFF">
      <w:pPr>
        <w:widowControl w:val="0"/>
        <w:spacing w:line="276" w:lineRule="auto"/>
        <w:ind w:firstLine="567"/>
        <w:jc w:val="both"/>
      </w:pPr>
    </w:p>
    <w:p w:rsidR="00221939" w:rsidRDefault="00221939" w:rsidP="00D86BFF">
      <w:pPr>
        <w:widowControl w:val="0"/>
        <w:spacing w:line="276" w:lineRule="auto"/>
        <w:ind w:firstLine="567"/>
        <w:jc w:val="both"/>
        <w:rPr>
          <w:color w:val="000000"/>
        </w:rPr>
      </w:pPr>
      <w:r w:rsidRPr="00CB0E9B">
        <w:rPr>
          <w:b/>
          <w:color w:val="000000"/>
        </w:rPr>
        <w:t>кредиторская задолженность</w:t>
      </w:r>
      <w:r w:rsidRPr="00F63618">
        <w:rPr>
          <w:color w:val="000000"/>
        </w:rPr>
        <w:t xml:space="preserve"> на начало года составила </w:t>
      </w:r>
      <w:r w:rsidR="00C748C2">
        <w:rPr>
          <w:color w:val="000000"/>
        </w:rPr>
        <w:t>2 573 044,57</w:t>
      </w:r>
      <w:r w:rsidRPr="00F63618">
        <w:rPr>
          <w:color w:val="000000"/>
        </w:rPr>
        <w:t xml:space="preserve"> рублей, за </w:t>
      </w:r>
      <w:r w:rsidR="00FB39B6">
        <w:rPr>
          <w:color w:val="000000"/>
        </w:rPr>
        <w:t>6</w:t>
      </w:r>
      <w:r w:rsidRPr="00F63618">
        <w:rPr>
          <w:color w:val="000000"/>
        </w:rPr>
        <w:t xml:space="preserve"> месяцев 202</w:t>
      </w:r>
      <w:r w:rsidR="00C748C2">
        <w:rPr>
          <w:color w:val="000000"/>
        </w:rPr>
        <w:t>4</w:t>
      </w:r>
      <w:r w:rsidRPr="00F63618">
        <w:rPr>
          <w:color w:val="000000"/>
        </w:rPr>
        <w:t xml:space="preserve"> года задолженность уменьшилась на </w:t>
      </w:r>
      <w:r w:rsidR="00AE30F8">
        <w:rPr>
          <w:color w:val="000000"/>
        </w:rPr>
        <w:t>24 065,08</w:t>
      </w:r>
      <w:r w:rsidR="00DB2F42">
        <w:rPr>
          <w:color w:val="000000"/>
        </w:rPr>
        <w:t xml:space="preserve"> </w:t>
      </w:r>
      <w:r w:rsidRPr="00F63618">
        <w:rPr>
          <w:color w:val="000000"/>
        </w:rPr>
        <w:t xml:space="preserve">рублей и составила </w:t>
      </w:r>
      <w:r w:rsidR="00AE30F8">
        <w:rPr>
          <w:color w:val="000000"/>
        </w:rPr>
        <w:t>2 548 979,49</w:t>
      </w:r>
      <w:r w:rsidRPr="00F63618">
        <w:rPr>
          <w:color w:val="000000"/>
        </w:rPr>
        <w:t xml:space="preserve"> рублей (на 01.</w:t>
      </w:r>
      <w:r>
        <w:rPr>
          <w:color w:val="000000"/>
        </w:rPr>
        <w:t>0</w:t>
      </w:r>
      <w:r w:rsidR="00FB39B6">
        <w:rPr>
          <w:color w:val="000000"/>
        </w:rPr>
        <w:t>7</w:t>
      </w:r>
      <w:r w:rsidRPr="00F63618">
        <w:rPr>
          <w:color w:val="000000"/>
        </w:rPr>
        <w:t>.20</w:t>
      </w:r>
      <w:r w:rsidR="00FB39B6">
        <w:rPr>
          <w:color w:val="000000"/>
        </w:rPr>
        <w:t>2</w:t>
      </w:r>
      <w:r w:rsidR="00C748C2">
        <w:rPr>
          <w:color w:val="000000"/>
        </w:rPr>
        <w:t>3</w:t>
      </w:r>
      <w:r w:rsidRPr="00F63618">
        <w:rPr>
          <w:color w:val="000000"/>
        </w:rPr>
        <w:t xml:space="preserve">г. – </w:t>
      </w:r>
      <w:r w:rsidR="00C748C2">
        <w:rPr>
          <w:color w:val="000000"/>
        </w:rPr>
        <w:t>2 519 433,43</w:t>
      </w:r>
      <w:r w:rsidR="00C748C2" w:rsidRPr="00F63618">
        <w:rPr>
          <w:color w:val="000000"/>
        </w:rPr>
        <w:t xml:space="preserve"> </w:t>
      </w:r>
      <w:r w:rsidRPr="003B0CFB">
        <w:rPr>
          <w:color w:val="000000"/>
        </w:rPr>
        <w:t xml:space="preserve"> </w:t>
      </w:r>
      <w:r w:rsidRPr="00F63618">
        <w:rPr>
          <w:color w:val="000000"/>
        </w:rPr>
        <w:t xml:space="preserve">рублей). Просроченной кредиторской задолженности по данным бухгалтерской отчетности не числится. </w:t>
      </w:r>
    </w:p>
    <w:p w:rsidR="00242AB3" w:rsidRPr="00242AB3" w:rsidRDefault="00242AB3" w:rsidP="00D86BFF">
      <w:pPr>
        <w:widowControl w:val="0"/>
        <w:spacing w:line="276" w:lineRule="auto"/>
        <w:ind w:firstLine="567"/>
        <w:jc w:val="both"/>
        <w:rPr>
          <w:shd w:val="clear" w:color="auto" w:fill="FFFFFF"/>
        </w:rPr>
      </w:pPr>
      <w:r w:rsidRPr="005147EA">
        <w:rPr>
          <w:color w:val="000000"/>
          <w:shd w:val="clear" w:color="auto" w:fill="FFFFFF"/>
        </w:rPr>
        <w:t>По  счету</w:t>
      </w:r>
      <w:r>
        <w:rPr>
          <w:color w:val="000000"/>
          <w:shd w:val="clear" w:color="auto" w:fill="FFFFFF"/>
        </w:rPr>
        <w:t xml:space="preserve"> </w:t>
      </w:r>
      <w:r w:rsidRPr="008B4427">
        <w:rPr>
          <w:color w:val="000000"/>
        </w:rPr>
        <w:t>120500000 «Расчеты по доходам»</w:t>
      </w:r>
      <w:r w:rsidRPr="00242AB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задолженность составила 2 098 185,04 </w:t>
      </w:r>
      <w:r w:rsidRPr="00242AB3">
        <w:rPr>
          <w:shd w:val="clear" w:color="auto" w:fill="FFFFFF"/>
        </w:rPr>
        <w:t>рублей, в том числе: </w:t>
      </w:r>
    </w:p>
    <w:p w:rsidR="00D66BA7" w:rsidRDefault="003707E5" w:rsidP="00D86BFF">
      <w:pPr>
        <w:widowControl w:val="0"/>
        <w:spacing w:line="276" w:lineRule="auto"/>
        <w:ind w:firstLine="567"/>
        <w:jc w:val="both"/>
      </w:pPr>
      <w:r w:rsidRPr="003707E5">
        <w:rPr>
          <w:color w:val="000000"/>
        </w:rPr>
        <w:t>- по счету 120511000 «Расчеты с плательщиками доходов»</w:t>
      </w:r>
      <w:r>
        <w:rPr>
          <w:color w:val="000000"/>
        </w:rPr>
        <w:t xml:space="preserve"> </w:t>
      </w:r>
      <w:r w:rsidRPr="003707E5">
        <w:rPr>
          <w:color w:val="000000"/>
        </w:rPr>
        <w:t xml:space="preserve">задолженность в сумме </w:t>
      </w:r>
      <w:r w:rsidR="00AE30F8">
        <w:rPr>
          <w:color w:val="000000"/>
        </w:rPr>
        <w:t>2 036 501,04</w:t>
      </w:r>
      <w:r w:rsidRPr="003707E5">
        <w:rPr>
          <w:color w:val="000000"/>
        </w:rPr>
        <w:t xml:space="preserve"> руб</w:t>
      </w:r>
      <w:r>
        <w:rPr>
          <w:color w:val="000000"/>
        </w:rPr>
        <w:t>лей</w:t>
      </w:r>
      <w:r w:rsidR="00D66BA7">
        <w:rPr>
          <w:color w:val="000000"/>
        </w:rPr>
        <w:t xml:space="preserve"> </w:t>
      </w:r>
      <w:r w:rsidR="00D66BA7">
        <w:t xml:space="preserve">(задолженность по ИФНС №7); </w:t>
      </w:r>
    </w:p>
    <w:p w:rsidR="00D66BA7" w:rsidRDefault="003707E5" w:rsidP="00D86BFF">
      <w:pPr>
        <w:widowControl w:val="0"/>
        <w:spacing w:line="276" w:lineRule="auto"/>
        <w:ind w:firstLine="567"/>
        <w:jc w:val="both"/>
      </w:pPr>
      <w:r w:rsidRPr="003707E5">
        <w:rPr>
          <w:color w:val="000000"/>
        </w:rPr>
        <w:t>- по счету 20545000 «Расчеты по доходам от прочих сумм</w:t>
      </w:r>
      <w:r>
        <w:rPr>
          <w:color w:val="000000"/>
        </w:rPr>
        <w:t xml:space="preserve"> </w:t>
      </w:r>
      <w:r w:rsidRPr="003707E5">
        <w:rPr>
          <w:color w:val="000000"/>
        </w:rPr>
        <w:t>принудительного изъятия» задолженность в сумме 6</w:t>
      </w:r>
      <w:r>
        <w:rPr>
          <w:color w:val="000000"/>
        </w:rPr>
        <w:t xml:space="preserve">1 684,00 </w:t>
      </w:r>
      <w:r w:rsidRPr="003707E5">
        <w:rPr>
          <w:color w:val="000000"/>
        </w:rPr>
        <w:t>руб</w:t>
      </w:r>
      <w:r>
        <w:rPr>
          <w:color w:val="000000"/>
        </w:rPr>
        <w:t>лей</w:t>
      </w:r>
      <w:r w:rsidR="00D66BA7">
        <w:rPr>
          <w:color w:val="000000"/>
        </w:rPr>
        <w:t xml:space="preserve"> </w:t>
      </w:r>
      <w:r w:rsidR="0036235C">
        <w:t xml:space="preserve">(задолженность по ИФНС №7). </w:t>
      </w:r>
      <w:r w:rsidR="00D66BA7">
        <w:t xml:space="preserve"> </w:t>
      </w:r>
    </w:p>
    <w:p w:rsidR="005147EA" w:rsidRPr="00242AB3" w:rsidRDefault="005147EA" w:rsidP="00D86BFF">
      <w:pPr>
        <w:widowControl w:val="0"/>
        <w:spacing w:line="276" w:lineRule="auto"/>
        <w:ind w:firstLine="567"/>
        <w:jc w:val="both"/>
        <w:rPr>
          <w:shd w:val="clear" w:color="auto" w:fill="FFFFFF"/>
        </w:rPr>
      </w:pPr>
      <w:r w:rsidRPr="005147EA">
        <w:rPr>
          <w:color w:val="000000"/>
          <w:shd w:val="clear" w:color="auto" w:fill="FFFFFF"/>
        </w:rPr>
        <w:t>По  счету</w:t>
      </w:r>
      <w:r>
        <w:rPr>
          <w:color w:val="000000"/>
          <w:shd w:val="clear" w:color="auto" w:fill="FFFFFF"/>
        </w:rPr>
        <w:t xml:space="preserve"> 0302</w:t>
      </w:r>
      <w:r w:rsidRPr="005147EA">
        <w:rPr>
          <w:color w:val="000000"/>
          <w:shd w:val="clear" w:color="auto" w:fill="FFFFFF"/>
        </w:rPr>
        <w:t xml:space="preserve">00000 </w:t>
      </w:r>
      <w:r w:rsidR="00242AB3">
        <w:rPr>
          <w:shd w:val="clear" w:color="auto" w:fill="FFFFFF"/>
        </w:rPr>
        <w:t>«</w:t>
      </w:r>
      <w:r w:rsidRPr="005147EA">
        <w:rPr>
          <w:shd w:val="clear" w:color="auto" w:fill="FFFFFF"/>
        </w:rPr>
        <w:t>Расчеты по принятым обязательствам</w:t>
      </w:r>
      <w:r w:rsidR="00242AB3">
        <w:rPr>
          <w:shd w:val="clear" w:color="auto" w:fill="FFFFFF"/>
        </w:rPr>
        <w:t xml:space="preserve">» </w:t>
      </w:r>
      <w:r>
        <w:rPr>
          <w:color w:val="000000"/>
          <w:shd w:val="clear" w:color="auto" w:fill="FFFFFF"/>
        </w:rPr>
        <w:t xml:space="preserve">задолженность составила </w:t>
      </w:r>
      <w:r w:rsidR="00242AB3">
        <w:rPr>
          <w:color w:val="000000"/>
          <w:shd w:val="clear" w:color="auto" w:fill="FFFFFF"/>
        </w:rPr>
        <w:t xml:space="preserve">252 847,08 </w:t>
      </w:r>
      <w:r w:rsidRPr="00242AB3">
        <w:rPr>
          <w:shd w:val="clear" w:color="auto" w:fill="FFFFFF"/>
        </w:rPr>
        <w:t>рублей, в том числе: </w:t>
      </w:r>
    </w:p>
    <w:p w:rsidR="00242AB3" w:rsidRPr="00242AB3" w:rsidRDefault="00242AB3" w:rsidP="00D86BFF">
      <w:pPr>
        <w:widowControl w:val="0"/>
        <w:spacing w:line="276" w:lineRule="auto"/>
        <w:ind w:firstLine="567"/>
        <w:jc w:val="both"/>
        <w:rPr>
          <w:shd w:val="clear" w:color="auto" w:fill="FFFFFF"/>
        </w:rPr>
      </w:pPr>
      <w:r w:rsidRPr="00242AB3">
        <w:rPr>
          <w:shd w:val="clear" w:color="auto" w:fill="FFFFFF"/>
        </w:rPr>
        <w:t xml:space="preserve">- по счету 130221000 </w:t>
      </w:r>
      <w:r>
        <w:rPr>
          <w:shd w:val="clear" w:color="auto" w:fill="FFFFFF"/>
        </w:rPr>
        <w:t>«Р</w:t>
      </w:r>
      <w:r w:rsidRPr="00242AB3">
        <w:rPr>
          <w:shd w:val="clear" w:color="auto" w:fill="FFFFFF"/>
        </w:rPr>
        <w:t>асчеты по услугам связи</w:t>
      </w:r>
      <w:r>
        <w:rPr>
          <w:shd w:val="clear" w:color="auto" w:fill="FFFFFF"/>
        </w:rPr>
        <w:t xml:space="preserve">» </w:t>
      </w:r>
      <w:r w:rsidRPr="00242AB3">
        <w:rPr>
          <w:shd w:val="clear" w:color="auto" w:fill="FFFFFF"/>
        </w:rPr>
        <w:t xml:space="preserve"> – 19 675,33</w:t>
      </w:r>
      <w:r>
        <w:rPr>
          <w:shd w:val="clear" w:color="auto" w:fill="FFFFFF"/>
        </w:rPr>
        <w:t xml:space="preserve"> рублей;</w:t>
      </w:r>
    </w:p>
    <w:p w:rsidR="00242AB3" w:rsidRPr="00242AB3" w:rsidRDefault="00242AB3" w:rsidP="00D86BFF">
      <w:pPr>
        <w:widowControl w:val="0"/>
        <w:spacing w:line="276" w:lineRule="auto"/>
        <w:ind w:firstLine="567"/>
        <w:jc w:val="both"/>
        <w:rPr>
          <w:shd w:val="clear" w:color="auto" w:fill="FFFFFF"/>
        </w:rPr>
      </w:pPr>
      <w:r w:rsidRPr="00242AB3">
        <w:rPr>
          <w:shd w:val="clear" w:color="auto" w:fill="FFFFFF"/>
        </w:rPr>
        <w:t xml:space="preserve">- по счету 130223000 </w:t>
      </w:r>
      <w:r>
        <w:rPr>
          <w:shd w:val="clear" w:color="auto" w:fill="FFFFFF"/>
        </w:rPr>
        <w:t>«</w:t>
      </w:r>
      <w:r w:rsidRPr="00242AB3">
        <w:rPr>
          <w:shd w:val="clear" w:color="auto" w:fill="FFFFFF"/>
        </w:rPr>
        <w:t>Расчеты по коммунальным услуга</w:t>
      </w:r>
      <w:r>
        <w:rPr>
          <w:shd w:val="clear" w:color="auto" w:fill="FFFFFF"/>
        </w:rPr>
        <w:t xml:space="preserve">м» - </w:t>
      </w:r>
      <w:r w:rsidRPr="00242AB3">
        <w:rPr>
          <w:shd w:val="clear" w:color="auto" w:fill="FFFFFF"/>
        </w:rPr>
        <w:t>232 191,75</w:t>
      </w:r>
      <w:r>
        <w:rPr>
          <w:shd w:val="clear" w:color="auto" w:fill="FFFFFF"/>
        </w:rPr>
        <w:t xml:space="preserve"> рублей</w:t>
      </w:r>
      <w:r w:rsidR="008D2C90">
        <w:rPr>
          <w:shd w:val="clear" w:color="auto" w:fill="FFFFFF"/>
        </w:rPr>
        <w:t xml:space="preserve"> (покупка </w:t>
      </w:r>
      <w:r w:rsidR="00F93F65">
        <w:rPr>
          <w:shd w:val="clear" w:color="auto" w:fill="FFFFFF"/>
        </w:rPr>
        <w:t>электроэнергии</w:t>
      </w:r>
      <w:r w:rsidR="008D2C90">
        <w:rPr>
          <w:shd w:val="clear" w:color="auto" w:fill="FFFFFF"/>
        </w:rPr>
        <w:t>)</w:t>
      </w:r>
      <w:r>
        <w:rPr>
          <w:shd w:val="clear" w:color="auto" w:fill="FFFFFF"/>
        </w:rPr>
        <w:t>;</w:t>
      </w:r>
    </w:p>
    <w:p w:rsidR="00242AB3" w:rsidRDefault="00242AB3" w:rsidP="00D86BFF">
      <w:pPr>
        <w:widowControl w:val="0"/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242AB3">
        <w:rPr>
          <w:shd w:val="clear" w:color="auto" w:fill="FFFFFF"/>
        </w:rPr>
        <w:t xml:space="preserve">- по счету 130226000 </w:t>
      </w:r>
      <w:r>
        <w:rPr>
          <w:shd w:val="clear" w:color="auto" w:fill="FFFFFF"/>
        </w:rPr>
        <w:t>«</w:t>
      </w:r>
      <w:r w:rsidRPr="00242AB3">
        <w:rPr>
          <w:shd w:val="clear" w:color="auto" w:fill="FFFFFF"/>
        </w:rPr>
        <w:t>Расчеты по социальному обеспечению</w:t>
      </w:r>
      <w:r>
        <w:rPr>
          <w:shd w:val="clear" w:color="auto" w:fill="FFFFFF"/>
        </w:rPr>
        <w:t xml:space="preserve">» - </w:t>
      </w:r>
      <w:r w:rsidRPr="00242AB3">
        <w:rPr>
          <w:shd w:val="clear" w:color="auto" w:fill="FFFFFF"/>
        </w:rPr>
        <w:t>980</w:t>
      </w:r>
      <w:r>
        <w:rPr>
          <w:color w:val="000000"/>
          <w:shd w:val="clear" w:color="auto" w:fill="FFFFFF"/>
        </w:rPr>
        <w:t>,00 рублей</w:t>
      </w:r>
      <w:r w:rsidR="008D2C90">
        <w:rPr>
          <w:color w:val="000000"/>
          <w:shd w:val="clear" w:color="auto" w:fill="FFFFFF"/>
        </w:rPr>
        <w:t xml:space="preserve"> (обслуживание пожарных извещателей)</w:t>
      </w:r>
      <w:r>
        <w:rPr>
          <w:color w:val="000000"/>
          <w:shd w:val="clear" w:color="auto" w:fill="FFFFFF"/>
        </w:rPr>
        <w:t>.</w:t>
      </w:r>
    </w:p>
    <w:p w:rsidR="005147EA" w:rsidRDefault="005147EA" w:rsidP="00D86BFF">
      <w:pPr>
        <w:widowControl w:val="0"/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5147EA">
        <w:rPr>
          <w:color w:val="000000"/>
          <w:shd w:val="clear" w:color="auto" w:fill="FFFFFF"/>
        </w:rPr>
        <w:t>По  счету</w:t>
      </w:r>
      <w:r w:rsidR="00242AB3">
        <w:rPr>
          <w:color w:val="000000"/>
          <w:shd w:val="clear" w:color="auto" w:fill="FFFFFF"/>
        </w:rPr>
        <w:t xml:space="preserve"> 030300000 «</w:t>
      </w:r>
      <w:r w:rsidRPr="005147EA">
        <w:rPr>
          <w:color w:val="000000"/>
          <w:shd w:val="clear" w:color="auto" w:fill="FFFFFF"/>
        </w:rPr>
        <w:t>Расчеты по платежам в бюджеты</w:t>
      </w:r>
      <w:r w:rsidR="00242AB3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задолженность составила 197 947,37 рублей, в том числе:</w:t>
      </w:r>
      <w:r w:rsidRPr="005147EA">
        <w:rPr>
          <w:color w:val="000000"/>
          <w:shd w:val="clear" w:color="auto" w:fill="FFFFFF"/>
        </w:rPr>
        <w:t> </w:t>
      </w:r>
    </w:p>
    <w:p w:rsidR="005147EA" w:rsidRPr="005147EA" w:rsidRDefault="005147EA" w:rsidP="00D86BFF">
      <w:pPr>
        <w:widowControl w:val="0"/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>- по  счету 130306000 «</w:t>
      </w:r>
      <w:r w:rsidRPr="005147EA">
        <w:rPr>
          <w:shd w:val="clear" w:color="auto" w:fill="FFFFFF"/>
        </w:rPr>
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</w:r>
      <w:r>
        <w:rPr>
          <w:shd w:val="clear" w:color="auto" w:fill="FFFFFF"/>
        </w:rPr>
        <w:t>» - 1 229,33 рублей;</w:t>
      </w:r>
    </w:p>
    <w:p w:rsidR="003707E5" w:rsidRPr="003707E5" w:rsidRDefault="003707E5" w:rsidP="00D86BFF">
      <w:pPr>
        <w:widowControl w:val="0"/>
        <w:spacing w:line="276" w:lineRule="auto"/>
        <w:ind w:firstLine="567"/>
        <w:jc w:val="both"/>
        <w:rPr>
          <w:color w:val="000000"/>
        </w:rPr>
      </w:pPr>
      <w:r w:rsidRPr="003707E5">
        <w:rPr>
          <w:color w:val="000000"/>
        </w:rPr>
        <w:t>- по счету 1303</w:t>
      </w:r>
      <w:r w:rsidR="00E87570">
        <w:rPr>
          <w:color w:val="000000"/>
        </w:rPr>
        <w:t>15</w:t>
      </w:r>
      <w:r w:rsidRPr="003707E5">
        <w:rPr>
          <w:color w:val="000000"/>
        </w:rPr>
        <w:t>000 «</w:t>
      </w:r>
      <w:r w:rsidR="00E87570">
        <w:t>Расчеты по единому страховому тарифу</w:t>
      </w:r>
      <w:r w:rsidR="00E87570">
        <w:rPr>
          <w:color w:val="000000"/>
        </w:rPr>
        <w:t xml:space="preserve">» - </w:t>
      </w:r>
      <w:r w:rsidR="0081437F">
        <w:rPr>
          <w:color w:val="000000"/>
        </w:rPr>
        <w:t>196 718,04</w:t>
      </w:r>
      <w:r w:rsidR="00E87570">
        <w:rPr>
          <w:color w:val="000000"/>
        </w:rPr>
        <w:t xml:space="preserve"> </w:t>
      </w:r>
      <w:r w:rsidRPr="003707E5">
        <w:rPr>
          <w:color w:val="000000"/>
        </w:rPr>
        <w:t>руб</w:t>
      </w:r>
      <w:r w:rsidR="00E87570">
        <w:rPr>
          <w:color w:val="000000"/>
        </w:rPr>
        <w:t>лей</w:t>
      </w:r>
      <w:r w:rsidR="00D66BA7">
        <w:rPr>
          <w:color w:val="000000"/>
        </w:rPr>
        <w:t xml:space="preserve"> (начислены страховые взносы </w:t>
      </w:r>
      <w:r w:rsidR="00D66BA7" w:rsidRPr="008D2C90">
        <w:rPr>
          <w:color w:val="000000"/>
        </w:rPr>
        <w:t>за июнь 202</w:t>
      </w:r>
      <w:r w:rsidR="0081437F" w:rsidRPr="008D2C90">
        <w:rPr>
          <w:color w:val="000000"/>
        </w:rPr>
        <w:t>4</w:t>
      </w:r>
      <w:r w:rsidR="00D66BA7" w:rsidRPr="008D2C90">
        <w:rPr>
          <w:color w:val="000000"/>
        </w:rPr>
        <w:t xml:space="preserve"> года)</w:t>
      </w:r>
      <w:r w:rsidR="005147EA" w:rsidRPr="008D2C90">
        <w:rPr>
          <w:color w:val="000000"/>
        </w:rPr>
        <w:t>.</w:t>
      </w:r>
    </w:p>
    <w:p w:rsidR="00221939" w:rsidRPr="000C75DA" w:rsidRDefault="00221939" w:rsidP="00D86BFF">
      <w:pPr>
        <w:widowControl w:val="0"/>
        <w:tabs>
          <w:tab w:val="left" w:pos="567"/>
        </w:tabs>
        <w:spacing w:line="276" w:lineRule="auto"/>
        <w:ind w:firstLine="567"/>
        <w:jc w:val="both"/>
        <w:rPr>
          <w:color w:val="000000"/>
        </w:rPr>
      </w:pPr>
      <w:r w:rsidRPr="00F63618">
        <w:rPr>
          <w:color w:val="000000"/>
        </w:rPr>
        <w:t xml:space="preserve">Более подробная информация о дебиторской и кредиторской задолженности, </w:t>
      </w:r>
      <w:r>
        <w:rPr>
          <w:color w:val="000000"/>
        </w:rPr>
        <w:t>указана</w:t>
      </w:r>
      <w:r w:rsidRPr="00F63618">
        <w:rPr>
          <w:color w:val="000000"/>
        </w:rPr>
        <w:t xml:space="preserve"> в текстовой части Пояснительной записки.</w:t>
      </w:r>
    </w:p>
    <w:p w:rsidR="00221939" w:rsidRPr="00472D01" w:rsidRDefault="00221939" w:rsidP="00D86BFF">
      <w:pPr>
        <w:spacing w:line="276" w:lineRule="auto"/>
        <w:ind w:firstLine="540"/>
        <w:jc w:val="both"/>
        <w:outlineLvl w:val="3"/>
        <w:rPr>
          <w:color w:val="FF0000"/>
        </w:rPr>
      </w:pPr>
    </w:p>
    <w:p w:rsidR="00F4402F" w:rsidRPr="00472D01" w:rsidRDefault="00D66BA7" w:rsidP="00D86BFF">
      <w:pPr>
        <w:widowControl w:val="0"/>
        <w:tabs>
          <w:tab w:val="left" w:pos="567"/>
        </w:tabs>
        <w:spacing w:line="276" w:lineRule="auto"/>
        <w:jc w:val="center"/>
        <w:rPr>
          <w:b/>
          <w:bCs/>
          <w:i/>
        </w:rPr>
      </w:pPr>
      <w:r>
        <w:rPr>
          <w:b/>
          <w:bCs/>
          <w:i/>
        </w:rPr>
        <w:t>6</w:t>
      </w:r>
      <w:r w:rsidR="00F4402F" w:rsidRPr="00472D01">
        <w:rPr>
          <w:b/>
          <w:bCs/>
          <w:i/>
        </w:rPr>
        <w:t>. Исполнение</w:t>
      </w:r>
      <w:r w:rsidR="00D95369" w:rsidRPr="00472D01">
        <w:rPr>
          <w:b/>
          <w:i/>
        </w:rPr>
        <w:t xml:space="preserve"> бюджета муниципального образования Саракташский поссовет  </w:t>
      </w:r>
      <w:r w:rsidR="00F4402F" w:rsidRPr="00472D01">
        <w:rPr>
          <w:b/>
          <w:bCs/>
          <w:i/>
        </w:rPr>
        <w:t>в части источников</w:t>
      </w:r>
      <w:r w:rsidR="00D95369" w:rsidRPr="00472D01">
        <w:rPr>
          <w:b/>
          <w:bCs/>
          <w:i/>
        </w:rPr>
        <w:t xml:space="preserve"> </w:t>
      </w:r>
      <w:r w:rsidR="00F4402F" w:rsidRPr="00472D01">
        <w:rPr>
          <w:b/>
          <w:bCs/>
          <w:i/>
        </w:rPr>
        <w:t>финансирования дефицита</w:t>
      </w:r>
      <w:r w:rsidR="00D95369" w:rsidRPr="00472D01">
        <w:rPr>
          <w:b/>
          <w:bCs/>
          <w:i/>
        </w:rPr>
        <w:t xml:space="preserve"> </w:t>
      </w:r>
      <w:r w:rsidR="00F4402F" w:rsidRPr="00472D01">
        <w:rPr>
          <w:b/>
          <w:bCs/>
          <w:i/>
        </w:rPr>
        <w:t>бюджета</w:t>
      </w:r>
    </w:p>
    <w:p w:rsidR="00C910F6" w:rsidRPr="002B1E3E" w:rsidRDefault="00C910F6" w:rsidP="00D86BFF">
      <w:pPr>
        <w:widowControl w:val="0"/>
        <w:spacing w:line="276" w:lineRule="auto"/>
        <w:ind w:firstLine="567"/>
        <w:jc w:val="center"/>
        <w:rPr>
          <w:b/>
          <w:bCs/>
          <w:sz w:val="16"/>
          <w:szCs w:val="16"/>
        </w:rPr>
      </w:pPr>
    </w:p>
    <w:p w:rsidR="00271589" w:rsidRPr="00076260" w:rsidRDefault="00DB4FFD" w:rsidP="00D86BFF">
      <w:pPr>
        <w:widowControl w:val="0"/>
        <w:tabs>
          <w:tab w:val="left" w:pos="567"/>
        </w:tabs>
        <w:spacing w:line="276" w:lineRule="auto"/>
        <w:jc w:val="both"/>
      </w:pPr>
      <w:r w:rsidRPr="00472D01">
        <w:t xml:space="preserve">        </w:t>
      </w:r>
      <w:r w:rsidR="004332A3" w:rsidRPr="00472D01">
        <w:rPr>
          <w:spacing w:val="-4"/>
        </w:rPr>
        <w:t xml:space="preserve">В соответствии с </w:t>
      </w:r>
      <w:r w:rsidR="004332A3" w:rsidRPr="00472D01">
        <w:t>представленным</w:t>
      </w:r>
      <w:r w:rsidR="004332A3" w:rsidRPr="00472D01">
        <w:rPr>
          <w:spacing w:val="-4"/>
        </w:rPr>
        <w:t xml:space="preserve"> отчетом б</w:t>
      </w:r>
      <w:r w:rsidR="004332A3" w:rsidRPr="00472D01">
        <w:t>юджет муниципального образования Саракташский поссовет за</w:t>
      </w:r>
      <w:r w:rsidR="00724860" w:rsidRPr="00472D01">
        <w:t xml:space="preserve"> </w:t>
      </w:r>
      <w:r w:rsidR="00992511">
        <w:t>1 полугодие</w:t>
      </w:r>
      <w:r w:rsidR="00724860" w:rsidRPr="00472D01">
        <w:t xml:space="preserve"> 20</w:t>
      </w:r>
      <w:r w:rsidR="005318C0">
        <w:t>2</w:t>
      </w:r>
      <w:r w:rsidR="0036235C">
        <w:t>4</w:t>
      </w:r>
      <w:r w:rsidR="004332A3" w:rsidRPr="00472D01">
        <w:t xml:space="preserve"> года исполнен с </w:t>
      </w:r>
      <w:r w:rsidR="0036235C">
        <w:t>дефицитом</w:t>
      </w:r>
      <w:r w:rsidR="001F0115" w:rsidRPr="00472D01">
        <w:t xml:space="preserve"> </w:t>
      </w:r>
      <w:r w:rsidR="004332A3" w:rsidRPr="00472D01">
        <w:t xml:space="preserve">в размере </w:t>
      </w:r>
      <w:r w:rsidR="0036235C">
        <w:t xml:space="preserve">3 332 554,45 </w:t>
      </w:r>
      <w:r w:rsidR="00724860" w:rsidRPr="00472D01">
        <w:t xml:space="preserve">рублей </w:t>
      </w:r>
      <w:r w:rsidR="00724860" w:rsidRPr="00472D01">
        <w:rPr>
          <w:bCs/>
          <w:spacing w:val="2"/>
        </w:rPr>
        <w:t>(Решением о бюджете муниципального образования Саракташский поссовет на 20</w:t>
      </w:r>
      <w:r w:rsidR="0067349F" w:rsidRPr="00472D01">
        <w:rPr>
          <w:bCs/>
          <w:spacing w:val="2"/>
        </w:rPr>
        <w:t>2</w:t>
      </w:r>
      <w:r w:rsidR="0036235C">
        <w:rPr>
          <w:bCs/>
          <w:spacing w:val="2"/>
        </w:rPr>
        <w:t>4</w:t>
      </w:r>
      <w:r w:rsidR="00724860" w:rsidRPr="00472D01">
        <w:rPr>
          <w:bCs/>
          <w:spacing w:val="2"/>
        </w:rPr>
        <w:t xml:space="preserve"> год предусмотрен сбалансированный бюджет). </w:t>
      </w:r>
      <w:r w:rsidR="004332A3" w:rsidRPr="00472D01">
        <w:rPr>
          <w:rStyle w:val="apple-converted-space"/>
          <w:shd w:val="clear" w:color="auto" w:fill="FFFFFF"/>
        </w:rPr>
        <w:t xml:space="preserve">В аналогичном периоде прошлого года местный бюджет был исполнен </w:t>
      </w:r>
      <w:r w:rsidR="001F0115" w:rsidRPr="00472D01">
        <w:t xml:space="preserve">с </w:t>
      </w:r>
      <w:r w:rsidR="00B30AF6">
        <w:t>профицитом</w:t>
      </w:r>
      <w:r w:rsidR="001F0115" w:rsidRPr="00472D01">
        <w:t xml:space="preserve"> в размере </w:t>
      </w:r>
      <w:r w:rsidR="0036235C">
        <w:t xml:space="preserve">556 173,54 </w:t>
      </w:r>
      <w:r w:rsidR="00271589" w:rsidRPr="00076260">
        <w:t>рублей.</w:t>
      </w:r>
      <w:r w:rsidR="0036235C" w:rsidRPr="0036235C">
        <w:t xml:space="preserve"> </w:t>
      </w:r>
    </w:p>
    <w:p w:rsidR="004B1622" w:rsidRPr="00472D01" w:rsidRDefault="004B1622" w:rsidP="00D86BFF">
      <w:pPr>
        <w:tabs>
          <w:tab w:val="left" w:pos="567"/>
        </w:tabs>
        <w:spacing w:line="276" w:lineRule="auto"/>
        <w:jc w:val="both"/>
        <w:rPr>
          <w:rStyle w:val="apple-converted-space"/>
          <w:shd w:val="clear" w:color="auto" w:fill="FFFFFF"/>
        </w:rPr>
      </w:pPr>
    </w:p>
    <w:p w:rsidR="000713E2" w:rsidRDefault="00E078A7" w:rsidP="00D86BFF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  <w:r w:rsidRPr="00472D01">
        <w:rPr>
          <w:bCs/>
        </w:rPr>
        <w:t xml:space="preserve">        </w:t>
      </w:r>
      <w:r w:rsidR="004B1622" w:rsidRPr="00472D01">
        <w:rPr>
          <w:bCs/>
        </w:rPr>
        <w:t>Согласно представленной отчетности (ф.0503178) «</w:t>
      </w:r>
      <w:r w:rsidR="004B1622" w:rsidRPr="00472D01">
        <w:t>Сведения об остатках денежных средств на счетах получателя бюджетных средств»</w:t>
      </w:r>
      <w:r w:rsidR="004B1622" w:rsidRPr="00472D01">
        <w:rPr>
          <w:bCs/>
        </w:rPr>
        <w:t>, остаток средств на счете на 01.0</w:t>
      </w:r>
      <w:r w:rsidR="00992511">
        <w:rPr>
          <w:bCs/>
        </w:rPr>
        <w:t>7</w:t>
      </w:r>
      <w:r w:rsidR="004B1622" w:rsidRPr="00472D01">
        <w:rPr>
          <w:bCs/>
        </w:rPr>
        <w:t>.20</w:t>
      </w:r>
      <w:r w:rsidR="001F0115" w:rsidRPr="00472D01">
        <w:rPr>
          <w:bCs/>
        </w:rPr>
        <w:t>2</w:t>
      </w:r>
      <w:r w:rsidR="0036235C">
        <w:rPr>
          <w:bCs/>
        </w:rPr>
        <w:t>4</w:t>
      </w:r>
      <w:r w:rsidR="004B1622" w:rsidRPr="00472D01">
        <w:rPr>
          <w:bCs/>
        </w:rPr>
        <w:t xml:space="preserve"> года составил </w:t>
      </w:r>
      <w:r w:rsidR="00992511">
        <w:rPr>
          <w:bCs/>
        </w:rPr>
        <w:t>1</w:t>
      </w:r>
      <w:r w:rsidR="0036235C">
        <w:rPr>
          <w:bCs/>
        </w:rPr>
        <w:t> 455 397,07</w:t>
      </w:r>
      <w:r w:rsidR="00472D01" w:rsidRPr="00472D01">
        <w:rPr>
          <w:bCs/>
        </w:rPr>
        <w:t xml:space="preserve"> </w:t>
      </w:r>
      <w:r w:rsidR="004B1622" w:rsidRPr="00472D01">
        <w:rPr>
          <w:bCs/>
        </w:rPr>
        <w:t>рублей</w:t>
      </w:r>
      <w:r w:rsidR="00FF079D" w:rsidRPr="00472D01">
        <w:rPr>
          <w:bCs/>
        </w:rPr>
        <w:t>.</w:t>
      </w:r>
      <w:r w:rsidR="00FF079D" w:rsidRPr="001D2454">
        <w:rPr>
          <w:bCs/>
        </w:rPr>
        <w:t xml:space="preserve"> </w:t>
      </w:r>
    </w:p>
    <w:p w:rsidR="00AA5EEE" w:rsidRDefault="00AA5EEE" w:rsidP="00D86BFF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</w:p>
    <w:p w:rsidR="00F4402F" w:rsidRPr="00846AB0" w:rsidRDefault="00F4402F" w:rsidP="00D86BFF">
      <w:pPr>
        <w:widowControl w:val="0"/>
        <w:spacing w:line="276" w:lineRule="auto"/>
        <w:jc w:val="center"/>
        <w:rPr>
          <w:b/>
          <w:bCs/>
        </w:rPr>
      </w:pPr>
      <w:r w:rsidRPr="00846AB0">
        <w:rPr>
          <w:b/>
          <w:bCs/>
        </w:rPr>
        <w:t>В</w:t>
      </w:r>
      <w:r w:rsidR="00E952CD" w:rsidRPr="00846AB0">
        <w:rPr>
          <w:b/>
          <w:bCs/>
        </w:rPr>
        <w:t xml:space="preserve"> </w:t>
      </w:r>
      <w:r w:rsidRPr="00846AB0">
        <w:rPr>
          <w:b/>
          <w:bCs/>
        </w:rPr>
        <w:t>Ы</w:t>
      </w:r>
      <w:r w:rsidR="00E952CD" w:rsidRPr="00846AB0">
        <w:rPr>
          <w:b/>
          <w:bCs/>
        </w:rPr>
        <w:t xml:space="preserve"> </w:t>
      </w:r>
      <w:r w:rsidRPr="00846AB0">
        <w:rPr>
          <w:b/>
          <w:bCs/>
        </w:rPr>
        <w:t>В</w:t>
      </w:r>
      <w:r w:rsidR="00E952CD" w:rsidRPr="00846AB0">
        <w:rPr>
          <w:b/>
          <w:bCs/>
        </w:rPr>
        <w:t xml:space="preserve"> </w:t>
      </w:r>
      <w:r w:rsidRPr="00846AB0">
        <w:rPr>
          <w:b/>
          <w:bCs/>
        </w:rPr>
        <w:t>О</w:t>
      </w:r>
      <w:r w:rsidR="00E952CD" w:rsidRPr="00846AB0">
        <w:rPr>
          <w:b/>
          <w:bCs/>
        </w:rPr>
        <w:t xml:space="preserve"> </w:t>
      </w:r>
      <w:r w:rsidRPr="00846AB0">
        <w:rPr>
          <w:b/>
          <w:bCs/>
        </w:rPr>
        <w:t>Д</w:t>
      </w:r>
      <w:r w:rsidR="00E952CD" w:rsidRPr="00846AB0">
        <w:rPr>
          <w:b/>
          <w:bCs/>
        </w:rPr>
        <w:t xml:space="preserve"> </w:t>
      </w:r>
      <w:r w:rsidRPr="00846AB0">
        <w:rPr>
          <w:b/>
          <w:bCs/>
        </w:rPr>
        <w:t>Ы</w:t>
      </w:r>
    </w:p>
    <w:p w:rsidR="00C82C7D" w:rsidRPr="00846AB0" w:rsidRDefault="00C82C7D" w:rsidP="00D86BFF">
      <w:pPr>
        <w:widowControl w:val="0"/>
        <w:spacing w:line="276" w:lineRule="auto"/>
        <w:jc w:val="center"/>
        <w:rPr>
          <w:b/>
          <w:bCs/>
          <w:sz w:val="16"/>
          <w:szCs w:val="16"/>
        </w:rPr>
      </w:pPr>
    </w:p>
    <w:p w:rsidR="00295F97" w:rsidRDefault="00295F97" w:rsidP="00D86BFF">
      <w:pPr>
        <w:widowControl w:val="0"/>
        <w:spacing w:line="276" w:lineRule="auto"/>
        <w:ind w:firstLine="567"/>
        <w:jc w:val="both"/>
      </w:pPr>
      <w:r>
        <w:t>1</w:t>
      </w:r>
      <w:r w:rsidR="002A27D8">
        <w:t xml:space="preserve">. </w:t>
      </w:r>
      <w:r w:rsidR="003A5A1A" w:rsidRPr="00472D01">
        <w:t>За</w:t>
      </w:r>
      <w:r>
        <w:t xml:space="preserve"> 1 полугодие </w:t>
      </w:r>
      <w:r w:rsidR="003A5A1A" w:rsidRPr="00472D01">
        <w:t>20</w:t>
      </w:r>
      <w:r w:rsidR="00147276" w:rsidRPr="00472D01">
        <w:t>2</w:t>
      </w:r>
      <w:r w:rsidR="005E69D1">
        <w:t>4</w:t>
      </w:r>
      <w:r w:rsidR="003A5A1A" w:rsidRPr="00472D01">
        <w:t xml:space="preserve"> года в бюджет Саракташского поссовета поступило </w:t>
      </w:r>
      <w:r w:rsidR="005E69D1">
        <w:rPr>
          <w:szCs w:val="20"/>
        </w:rPr>
        <w:t xml:space="preserve">60 253 973,47 </w:t>
      </w:r>
      <w:r w:rsidR="003A5A1A" w:rsidRPr="002A27D8">
        <w:t xml:space="preserve">рублей доходов, что составляет </w:t>
      </w:r>
      <w:r w:rsidR="005E69D1">
        <w:t>40,4</w:t>
      </w:r>
      <w:r w:rsidR="003A5A1A" w:rsidRPr="002A27D8">
        <w:t>% от утвержденных плановых назначений (</w:t>
      </w:r>
      <w:r w:rsidR="005E69D1">
        <w:rPr>
          <w:szCs w:val="20"/>
        </w:rPr>
        <w:t xml:space="preserve">149 187 795,00 </w:t>
      </w:r>
      <w:r w:rsidR="003A5A1A" w:rsidRPr="002A27D8">
        <w:t>рублей). По сравнению</w:t>
      </w:r>
      <w:r w:rsidR="003A5A1A" w:rsidRPr="00472D01">
        <w:t xml:space="preserve"> с </w:t>
      </w:r>
      <w:r>
        <w:t xml:space="preserve">аналогичным периодом прошлого года </w:t>
      </w:r>
      <w:r w:rsidR="0015182F" w:rsidRPr="004118C4">
        <w:rPr>
          <w:szCs w:val="20"/>
        </w:rPr>
        <w:t>(</w:t>
      </w:r>
      <w:r w:rsidR="005E69D1">
        <w:rPr>
          <w:szCs w:val="20"/>
        </w:rPr>
        <w:t>40 573 397,69</w:t>
      </w:r>
      <w:r w:rsidR="004118C4" w:rsidRPr="007C65C5">
        <w:rPr>
          <w:b/>
          <w:szCs w:val="20"/>
        </w:rPr>
        <w:t xml:space="preserve"> </w:t>
      </w:r>
      <w:r w:rsidR="0015182F" w:rsidRPr="0015182F">
        <w:rPr>
          <w:szCs w:val="20"/>
        </w:rPr>
        <w:t xml:space="preserve">рублей) </w:t>
      </w:r>
      <w:r>
        <w:rPr>
          <w:szCs w:val="20"/>
        </w:rPr>
        <w:t xml:space="preserve">поступления </w:t>
      </w:r>
      <w:r w:rsidR="003A5A1A" w:rsidRPr="0015182F">
        <w:t>дохо</w:t>
      </w:r>
      <w:r>
        <w:t xml:space="preserve">дов </w:t>
      </w:r>
      <w:r w:rsidR="00427A7B">
        <w:t xml:space="preserve">увеличилось </w:t>
      </w:r>
      <w:r w:rsidR="003A5A1A" w:rsidRPr="0015182F">
        <w:t xml:space="preserve">на </w:t>
      </w:r>
      <w:r w:rsidR="005E69D1">
        <w:t>19 680 575,78</w:t>
      </w:r>
      <w:r w:rsidR="003A5A1A" w:rsidRPr="0015182F">
        <w:t xml:space="preserve"> рублей или на </w:t>
      </w:r>
      <w:r w:rsidR="005E69D1">
        <w:t>32,7</w:t>
      </w:r>
      <w:r w:rsidR="003A5A1A" w:rsidRPr="0015182F">
        <w:t>%</w:t>
      </w:r>
      <w:r w:rsidR="005E69D1">
        <w:t xml:space="preserve">, </w:t>
      </w:r>
      <w:r>
        <w:t xml:space="preserve">в результате </w:t>
      </w:r>
      <w:r w:rsidR="00427A7B">
        <w:t>у</w:t>
      </w:r>
      <w:r w:rsidR="005E69D1">
        <w:t>величения</w:t>
      </w:r>
      <w:r>
        <w:t xml:space="preserve"> налоговых и неналоговых доходов</w:t>
      </w:r>
      <w:r w:rsidR="00427A7B">
        <w:t xml:space="preserve"> на 5 205 624,78 рублей </w:t>
      </w:r>
      <w:r>
        <w:t>и безвозмездных поступлений</w:t>
      </w:r>
      <w:r w:rsidR="00427A7B">
        <w:t xml:space="preserve"> на 14 474 951,00 рублей</w:t>
      </w:r>
      <w:r>
        <w:t>.</w:t>
      </w:r>
    </w:p>
    <w:p w:rsidR="003A5A1A" w:rsidRDefault="003E3AD4" w:rsidP="00AE2F1B">
      <w:pPr>
        <w:widowControl w:val="0"/>
        <w:spacing w:line="276" w:lineRule="auto"/>
        <w:ind w:firstLine="567"/>
        <w:jc w:val="both"/>
      </w:pPr>
      <w:r>
        <w:rPr>
          <w:rFonts w:cs="Tahoma"/>
          <w:bCs/>
        </w:rPr>
        <w:t xml:space="preserve">2. </w:t>
      </w:r>
      <w:r w:rsidR="0015182F" w:rsidRPr="0015182F">
        <w:rPr>
          <w:rFonts w:cs="Tahoma"/>
          <w:bCs/>
        </w:rPr>
        <w:t>Налоговые и неналоговые доходы</w:t>
      </w:r>
      <w:r w:rsidR="0015182F" w:rsidRPr="006733B4">
        <w:rPr>
          <w:rFonts w:cs="Tahoma"/>
          <w:bCs/>
          <w:color w:val="FF0000"/>
        </w:rPr>
        <w:t xml:space="preserve"> </w:t>
      </w:r>
      <w:r w:rsidR="003A5A1A" w:rsidRPr="00472D01">
        <w:t xml:space="preserve">пополнили местный бюджет на сумму </w:t>
      </w:r>
      <w:r w:rsidR="00427A7B">
        <w:t>25 910 723,47</w:t>
      </w:r>
      <w:r w:rsidR="0011402D" w:rsidRPr="007C65C5">
        <w:t xml:space="preserve"> </w:t>
      </w:r>
      <w:r w:rsidR="0015182F" w:rsidRPr="0014680A">
        <w:rPr>
          <w:rFonts w:cs="Tahoma"/>
          <w:bCs/>
        </w:rPr>
        <w:t xml:space="preserve">рублей или </w:t>
      </w:r>
      <w:r w:rsidR="00427A7B">
        <w:t>43,0</w:t>
      </w:r>
      <w:r w:rsidR="0015182F" w:rsidRPr="0014680A">
        <w:rPr>
          <w:rFonts w:cs="Tahoma"/>
          <w:bCs/>
        </w:rPr>
        <w:t>% доходов бюджета</w:t>
      </w:r>
      <w:r w:rsidR="0011402D">
        <w:rPr>
          <w:rFonts w:cs="Tahoma"/>
          <w:bCs/>
        </w:rPr>
        <w:t>.</w:t>
      </w:r>
      <w:r w:rsidR="00D14782" w:rsidRPr="0014680A">
        <w:rPr>
          <w:rFonts w:cs="Tahoma"/>
          <w:bCs/>
        </w:rPr>
        <w:t xml:space="preserve"> </w:t>
      </w:r>
      <w:r w:rsidR="0014680A" w:rsidRPr="0014680A">
        <w:t xml:space="preserve">Исполнение по данному виду доходов составило </w:t>
      </w:r>
      <w:r w:rsidR="00427A7B">
        <w:t>49,4</w:t>
      </w:r>
      <w:r w:rsidR="0014680A" w:rsidRPr="0014680A">
        <w:t>% от утвержденных бюджетных назначений (</w:t>
      </w:r>
      <w:r w:rsidR="00427A7B">
        <w:t>52 436 000,00</w:t>
      </w:r>
      <w:r w:rsidR="0014680A" w:rsidRPr="0014680A">
        <w:t xml:space="preserve"> рублей)</w:t>
      </w:r>
      <w:r w:rsidR="0011402D" w:rsidRPr="0011402D">
        <w:t xml:space="preserve"> </w:t>
      </w:r>
      <w:r w:rsidR="0011402D" w:rsidRPr="0014680A">
        <w:t xml:space="preserve">и </w:t>
      </w:r>
      <w:r w:rsidR="00427A7B">
        <w:t>125,1</w:t>
      </w:r>
      <w:r w:rsidR="0011402D" w:rsidRPr="0014680A">
        <w:t xml:space="preserve">% к соответствующим поступлениям за 1 </w:t>
      </w:r>
      <w:r w:rsidR="00846AB0">
        <w:t>полугодие</w:t>
      </w:r>
      <w:r w:rsidR="0011402D" w:rsidRPr="0014680A">
        <w:t xml:space="preserve"> 202</w:t>
      </w:r>
      <w:r w:rsidR="00427A7B">
        <w:t>3</w:t>
      </w:r>
      <w:r w:rsidR="0011402D" w:rsidRPr="0014680A">
        <w:t xml:space="preserve"> года (</w:t>
      </w:r>
      <w:r w:rsidR="00427A7B">
        <w:rPr>
          <w:bCs/>
        </w:rPr>
        <w:t>20 705 098,69</w:t>
      </w:r>
      <w:r w:rsidR="0011402D" w:rsidRPr="0014680A">
        <w:rPr>
          <w:b/>
          <w:bCs/>
          <w:sz w:val="20"/>
          <w:szCs w:val="20"/>
        </w:rPr>
        <w:t xml:space="preserve"> </w:t>
      </w:r>
      <w:r w:rsidR="0011402D" w:rsidRPr="0014680A">
        <w:t>рублей).</w:t>
      </w:r>
      <w:r w:rsidR="0011402D" w:rsidRPr="0011402D">
        <w:t xml:space="preserve"> </w:t>
      </w:r>
    </w:p>
    <w:p w:rsidR="00427A7B" w:rsidRDefault="00427A7B" w:rsidP="00427A7B">
      <w:pPr>
        <w:widowControl w:val="0"/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i/>
          <w:iCs/>
        </w:rPr>
      </w:pPr>
      <w:r w:rsidRPr="00427A7B">
        <w:rPr>
          <w:bCs/>
        </w:rPr>
        <w:t>П</w:t>
      </w:r>
      <w:r w:rsidRPr="00427A7B">
        <w:t>рирост</w:t>
      </w:r>
      <w:r>
        <w:t xml:space="preserve"> поступлений произошел по </w:t>
      </w:r>
      <w:r w:rsidRPr="00080BA9">
        <w:t>налог</w:t>
      </w:r>
      <w:r>
        <w:t xml:space="preserve">у </w:t>
      </w:r>
      <w:r w:rsidRPr="00080BA9">
        <w:t xml:space="preserve">на доходы </w:t>
      </w:r>
      <w:r>
        <w:t xml:space="preserve"> физических лиц (на 21,8%); по налогу на товары (работы, услуги), реализуемые на территории РФ</w:t>
      </w:r>
      <w:r w:rsidRPr="006C2EB5">
        <w:t xml:space="preserve"> </w:t>
      </w:r>
      <w:r>
        <w:t>(на 3,4,0%); налогу на имущество (на 56,9%);</w:t>
      </w:r>
      <w:r w:rsidRPr="00812353">
        <w:t xml:space="preserve"> </w:t>
      </w:r>
      <w:r>
        <w:t>доходы от использования имущества, находящегося в государственной и муниципальной собственности (на 131,3%</w:t>
      </w:r>
      <w:r w:rsidRPr="00080BA9">
        <w:t>)</w:t>
      </w:r>
      <w:r>
        <w:t>;</w:t>
      </w:r>
      <w:r w:rsidRPr="00B8554D">
        <w:t xml:space="preserve"> </w:t>
      </w:r>
      <w:r w:rsidRPr="00235D5B">
        <w:t>доходы от продажи материальных и нематериальных активов (</w:t>
      </w:r>
      <w:r>
        <w:t>на 458,7%</w:t>
      </w:r>
      <w:r w:rsidRPr="00235D5B">
        <w:t>)</w:t>
      </w:r>
      <w:r>
        <w:t xml:space="preserve">. </w:t>
      </w:r>
    </w:p>
    <w:p w:rsidR="00427A7B" w:rsidRDefault="00427A7B" w:rsidP="00427A7B">
      <w:pPr>
        <w:widowControl w:val="0"/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i/>
          <w:iCs/>
        </w:rPr>
      </w:pPr>
      <w:r w:rsidRPr="00427A7B">
        <w:t xml:space="preserve">Снижение </w:t>
      </w:r>
      <w:r w:rsidRPr="003A265E">
        <w:t>поступлений</w:t>
      </w:r>
      <w:r>
        <w:t xml:space="preserve"> </w:t>
      </w:r>
      <w:r w:rsidRPr="006C2EB5">
        <w:t>отмечается</w:t>
      </w:r>
      <w:r>
        <w:t xml:space="preserve"> по</w:t>
      </w:r>
      <w:r w:rsidRPr="00080BA9">
        <w:t xml:space="preserve"> </w:t>
      </w:r>
      <w:r w:rsidRPr="006C2EB5">
        <w:t xml:space="preserve">налогу на совокупный доход (на </w:t>
      </w:r>
      <w:r>
        <w:t>0,6</w:t>
      </w:r>
      <w:r w:rsidRPr="006C2EB5">
        <w:t xml:space="preserve">%); государственной пошлине (на </w:t>
      </w:r>
      <w:r>
        <w:t>63,5</w:t>
      </w:r>
      <w:r w:rsidRPr="006C2EB5">
        <w:t>%)</w:t>
      </w:r>
      <w:r>
        <w:t>.</w:t>
      </w:r>
    </w:p>
    <w:p w:rsidR="00427A7B" w:rsidRPr="00427A7B" w:rsidRDefault="00D86BFF" w:rsidP="00427A7B">
      <w:pPr>
        <w:spacing w:line="276" w:lineRule="auto"/>
        <w:ind w:firstLine="567"/>
        <w:jc w:val="both"/>
      </w:pPr>
      <w:r>
        <w:t>3</w:t>
      </w:r>
      <w:r w:rsidR="003E3AD4">
        <w:t xml:space="preserve">. </w:t>
      </w:r>
      <w:r w:rsidR="00427A7B">
        <w:t xml:space="preserve">Преобладающую долю в группе </w:t>
      </w:r>
      <w:r w:rsidR="00427A7B" w:rsidRPr="00B03FAF">
        <w:t xml:space="preserve">налоговых и неналоговых доходов </w:t>
      </w:r>
      <w:r w:rsidR="00427A7B">
        <w:t xml:space="preserve">занимают </w:t>
      </w:r>
      <w:r w:rsidR="00427A7B" w:rsidRPr="00B03FAF">
        <w:t xml:space="preserve"> </w:t>
      </w:r>
      <w:r w:rsidR="00427A7B">
        <w:t xml:space="preserve">поступления </w:t>
      </w:r>
      <w:r w:rsidR="00427A7B" w:rsidRPr="00427A7B">
        <w:t xml:space="preserve">от </w:t>
      </w:r>
      <w:r w:rsidR="00427A7B" w:rsidRPr="00427A7B">
        <w:rPr>
          <w:iCs/>
        </w:rPr>
        <w:t xml:space="preserve">налогов на доходы физических лиц </w:t>
      </w:r>
      <w:r w:rsidR="00427A7B" w:rsidRPr="00427A7B">
        <w:t>(49,0%).</w:t>
      </w:r>
    </w:p>
    <w:p w:rsidR="00427A7B" w:rsidRPr="00427A7B" w:rsidRDefault="00427A7B" w:rsidP="00427A7B">
      <w:pPr>
        <w:spacing w:line="276" w:lineRule="auto"/>
        <w:ind w:firstLine="567"/>
        <w:jc w:val="both"/>
      </w:pPr>
      <w:r w:rsidRPr="00427A7B">
        <w:t xml:space="preserve">Удельный вес </w:t>
      </w:r>
      <w:r w:rsidRPr="00427A7B">
        <w:rPr>
          <w:iCs/>
        </w:rPr>
        <w:t xml:space="preserve">доходов от налога на товары, реализуемые на территории Российской Федерации – 22,2%, налогов на совокупный доход </w:t>
      </w:r>
      <w:r w:rsidRPr="00427A7B">
        <w:rPr>
          <w:iCs/>
        </w:rPr>
        <w:sym w:font="Symbol" w:char="F02D"/>
      </w:r>
      <w:r w:rsidRPr="00427A7B">
        <w:rPr>
          <w:iCs/>
        </w:rPr>
        <w:t xml:space="preserve"> 9,3</w:t>
      </w:r>
      <w:r w:rsidRPr="00427A7B">
        <w:t xml:space="preserve">%, налогов на имущество – 11,4%, государственная пошлина – 0,005%, доходы </w:t>
      </w:r>
      <w:r w:rsidRPr="00427A7B">
        <w:rPr>
          <w:iCs/>
        </w:rPr>
        <w:t>от использования имущества</w:t>
      </w:r>
      <w:r w:rsidRPr="00427A7B">
        <w:t xml:space="preserve">, находящегося в муниципальной собственности –0,3%, </w:t>
      </w:r>
      <w:r w:rsidRPr="00427A7B">
        <w:rPr>
          <w:iCs/>
        </w:rPr>
        <w:t xml:space="preserve">доходы от продажи материальных и нематериальных активов </w:t>
      </w:r>
      <w:r w:rsidRPr="00427A7B">
        <w:t xml:space="preserve">– 7,7%, штрафы – 0,008%.  </w:t>
      </w:r>
    </w:p>
    <w:p w:rsidR="0011402D" w:rsidRDefault="00D86BFF" w:rsidP="00427A7B">
      <w:pPr>
        <w:widowControl w:val="0"/>
        <w:tabs>
          <w:tab w:val="left" w:pos="851"/>
        </w:tabs>
        <w:overflowPunct/>
        <w:autoSpaceDE/>
        <w:autoSpaceDN/>
        <w:adjustRightInd/>
        <w:spacing w:line="276" w:lineRule="auto"/>
        <w:ind w:firstLine="567"/>
        <w:jc w:val="both"/>
        <w:textAlignment w:val="auto"/>
      </w:pPr>
      <w:r>
        <w:rPr>
          <w:iCs/>
        </w:rPr>
        <w:t xml:space="preserve">4. </w:t>
      </w:r>
      <w:r w:rsidR="0011402D" w:rsidRPr="00AE2F1B">
        <w:rPr>
          <w:iCs/>
        </w:rPr>
        <w:t>Безвозмездные поступления</w:t>
      </w:r>
      <w:r w:rsidR="0011402D" w:rsidRPr="00472D01">
        <w:rPr>
          <w:b/>
          <w:i/>
          <w:iCs/>
        </w:rPr>
        <w:t xml:space="preserve"> </w:t>
      </w:r>
      <w:r w:rsidR="0011402D" w:rsidRPr="00472D01">
        <w:t>на 01.0</w:t>
      </w:r>
      <w:r w:rsidR="00D7449B">
        <w:t>7</w:t>
      </w:r>
      <w:r w:rsidR="0011402D" w:rsidRPr="00472D01">
        <w:t>.20</w:t>
      </w:r>
      <w:r w:rsidR="0011402D">
        <w:t>2</w:t>
      </w:r>
      <w:r w:rsidR="003851C1">
        <w:t>4</w:t>
      </w:r>
      <w:r w:rsidR="0011402D" w:rsidRPr="00472D01">
        <w:t xml:space="preserve"> года сложились в объеме </w:t>
      </w:r>
      <w:r w:rsidR="003851C1">
        <w:t xml:space="preserve">34 343 250,00 </w:t>
      </w:r>
      <w:r w:rsidR="0011402D" w:rsidRPr="00472D01">
        <w:t xml:space="preserve">рублей, что составляет </w:t>
      </w:r>
      <w:r w:rsidR="003851C1">
        <w:t>35,5</w:t>
      </w:r>
      <w:r w:rsidR="0011402D" w:rsidRPr="00472D01">
        <w:t>% от годового объема бюджетных назначений (</w:t>
      </w:r>
      <w:r w:rsidR="003851C1">
        <w:t>96 751 795,00</w:t>
      </w:r>
      <w:r w:rsidR="0011402D" w:rsidRPr="00472D01">
        <w:t xml:space="preserve"> рублей). </w:t>
      </w:r>
    </w:p>
    <w:p w:rsidR="004118C4" w:rsidRPr="00AE2F1B" w:rsidRDefault="00AE2F1B" w:rsidP="00AE2F1B">
      <w:pPr>
        <w:widowControl w:val="0"/>
        <w:tabs>
          <w:tab w:val="left" w:pos="567"/>
          <w:tab w:val="left" w:pos="851"/>
        </w:tabs>
        <w:spacing w:line="276" w:lineRule="auto"/>
        <w:jc w:val="both"/>
      </w:pPr>
      <w:r>
        <w:t xml:space="preserve">        </w:t>
      </w:r>
      <w:r w:rsidR="00D86BFF">
        <w:t>5</w:t>
      </w:r>
      <w:r>
        <w:t xml:space="preserve">. </w:t>
      </w:r>
      <w:r w:rsidR="004118C4" w:rsidRPr="00AE2F1B">
        <w:t xml:space="preserve">Расходы из бюджета муниципального образования Саракташский поссовет за </w:t>
      </w:r>
      <w:r w:rsidR="00D7449B">
        <w:t>6 месяцев</w:t>
      </w:r>
      <w:r w:rsidR="004118C4" w:rsidRPr="00AE2F1B">
        <w:t xml:space="preserve"> текущего года произведены в сумме </w:t>
      </w:r>
      <w:r w:rsidR="005A40BE">
        <w:t>63 586 527,92</w:t>
      </w:r>
      <w:r w:rsidR="004118C4" w:rsidRPr="00AE2F1B">
        <w:t xml:space="preserve"> рублей, что составляет </w:t>
      </w:r>
      <w:r w:rsidR="005A40BE">
        <w:t>41,3</w:t>
      </w:r>
      <w:r w:rsidR="004118C4" w:rsidRPr="00AE2F1B">
        <w:t>% к уточненным годовым бюджетным назначениям (</w:t>
      </w:r>
      <w:r w:rsidR="005A40BE">
        <w:t>153 975 746,52</w:t>
      </w:r>
      <w:r w:rsidR="004118C4" w:rsidRPr="00AE2F1B">
        <w:t xml:space="preserve"> рублей) и </w:t>
      </w:r>
      <w:r w:rsidR="005A40BE">
        <w:t>158,9</w:t>
      </w:r>
      <w:r w:rsidR="004118C4" w:rsidRPr="00AE2F1B">
        <w:t>%</w:t>
      </w:r>
      <w:r w:rsidR="004118C4" w:rsidRPr="00AE2F1B">
        <w:rPr>
          <w:szCs w:val="20"/>
        </w:rPr>
        <w:t xml:space="preserve"> к объему расходов местного бюджета за аналогичный период прошлого года (</w:t>
      </w:r>
      <w:r w:rsidR="005A40BE">
        <w:t>40 017 224,15</w:t>
      </w:r>
      <w:r w:rsidR="004118C4" w:rsidRPr="00AE2F1B">
        <w:t xml:space="preserve"> </w:t>
      </w:r>
      <w:r w:rsidR="004118C4" w:rsidRPr="00AE2F1B">
        <w:rPr>
          <w:szCs w:val="20"/>
        </w:rPr>
        <w:t>рублей)</w:t>
      </w:r>
      <w:r w:rsidR="004118C4" w:rsidRPr="00AE2F1B">
        <w:t xml:space="preserve">. </w:t>
      </w:r>
    </w:p>
    <w:p w:rsidR="0014680A" w:rsidRDefault="0014680A" w:rsidP="00AE2F1B">
      <w:pPr>
        <w:widowControl w:val="0"/>
        <w:tabs>
          <w:tab w:val="left" w:pos="567"/>
        </w:tabs>
        <w:spacing w:line="276" w:lineRule="auto"/>
        <w:ind w:firstLine="567"/>
        <w:jc w:val="both"/>
      </w:pPr>
      <w:r>
        <w:t>Расходы местного бюджета, произведенные</w:t>
      </w:r>
      <w:r w:rsidR="003A5A1A" w:rsidRPr="00472D01">
        <w:t xml:space="preserve"> в отчетном периоде</w:t>
      </w:r>
      <w:r>
        <w:t xml:space="preserve"> сложились следующим образом: о</w:t>
      </w:r>
      <w:r w:rsidRPr="00472D01">
        <w:t xml:space="preserve">сновную долю в расходах местного бюджета за 1 </w:t>
      </w:r>
      <w:r w:rsidR="00D7449B">
        <w:t>полугодие</w:t>
      </w:r>
      <w:r w:rsidRPr="00472D01">
        <w:t xml:space="preserve"> текущего года занимают расходы по раздел</w:t>
      </w:r>
      <w:r>
        <w:t>у</w:t>
      </w:r>
      <w:r w:rsidRPr="00472D01">
        <w:t xml:space="preserve"> </w:t>
      </w:r>
      <w:r w:rsidR="00C950E0" w:rsidRPr="00472D01">
        <w:t xml:space="preserve">0400 «Национальная экономика» - </w:t>
      </w:r>
      <w:r w:rsidR="005A40BE">
        <w:t>47,2</w:t>
      </w:r>
      <w:r w:rsidR="00C950E0" w:rsidRPr="00472D01">
        <w:t>%</w:t>
      </w:r>
      <w:r w:rsidR="00C950E0">
        <w:t xml:space="preserve">; </w:t>
      </w:r>
      <w:r w:rsidR="00C950E0" w:rsidRPr="00472D01">
        <w:t xml:space="preserve">0800 «Культура, кинематография» - </w:t>
      </w:r>
      <w:r w:rsidR="00C950E0">
        <w:t>2</w:t>
      </w:r>
      <w:r w:rsidR="005A40BE">
        <w:t>0,2</w:t>
      </w:r>
      <w:r w:rsidR="00C950E0" w:rsidRPr="00472D01">
        <w:t>%</w:t>
      </w:r>
      <w:r w:rsidR="00C950E0">
        <w:t>;</w:t>
      </w:r>
      <w:r w:rsidR="00C950E0" w:rsidRPr="00472D01">
        <w:t xml:space="preserve"> </w:t>
      </w:r>
      <w:r w:rsidR="005A40BE" w:rsidRPr="00472D01">
        <w:t>0500 «Жилищно-коммунальное хозяйство»</w:t>
      </w:r>
      <w:r w:rsidR="005A40BE">
        <w:t xml:space="preserve"> </w:t>
      </w:r>
      <w:r w:rsidR="005A40BE" w:rsidRPr="00472D01">
        <w:t xml:space="preserve">– </w:t>
      </w:r>
      <w:r w:rsidR="005A40BE">
        <w:t>19,0</w:t>
      </w:r>
      <w:r w:rsidR="005A40BE" w:rsidRPr="00472D01">
        <w:t>%</w:t>
      </w:r>
      <w:r w:rsidR="005A40BE">
        <w:t xml:space="preserve">; </w:t>
      </w:r>
      <w:r w:rsidR="00C950E0" w:rsidRPr="00472D01">
        <w:t xml:space="preserve">0100 «Общегосударственные вопросы» - </w:t>
      </w:r>
      <w:r w:rsidR="00C950E0">
        <w:t>1</w:t>
      </w:r>
      <w:r w:rsidR="005A40BE">
        <w:t>1,5</w:t>
      </w:r>
      <w:r w:rsidR="00C950E0" w:rsidRPr="00472D01">
        <w:t>%</w:t>
      </w:r>
      <w:r w:rsidR="00C950E0">
        <w:t xml:space="preserve">; </w:t>
      </w:r>
      <w:r w:rsidR="007C65C5">
        <w:t xml:space="preserve">0300 «Национальная безопасность и правоохранительная деятельность» - </w:t>
      </w:r>
      <w:r w:rsidR="005A40BE">
        <w:t>1,8</w:t>
      </w:r>
      <w:r w:rsidR="007C65C5">
        <w:t>%; 1100 «Физическая культура и спорт» - 0,</w:t>
      </w:r>
      <w:r w:rsidR="005A40BE">
        <w:t>3</w:t>
      </w:r>
      <w:r w:rsidR="007C65C5">
        <w:t>%.</w:t>
      </w:r>
    </w:p>
    <w:p w:rsidR="00C950E0" w:rsidRDefault="00D86BFF" w:rsidP="00C950E0">
      <w:pPr>
        <w:shd w:val="clear" w:color="auto" w:fill="FFFFFF"/>
        <w:spacing w:line="276" w:lineRule="auto"/>
        <w:ind w:firstLine="567"/>
        <w:jc w:val="both"/>
        <w:rPr>
          <w:color w:val="000000"/>
          <w:lang w:eastAsia="ar-SA"/>
        </w:rPr>
      </w:pPr>
      <w:r>
        <w:t>6</w:t>
      </w:r>
      <w:r w:rsidR="00D7449B">
        <w:t>. О</w:t>
      </w:r>
      <w:r w:rsidR="00D7449B" w:rsidRPr="007E01A3">
        <w:rPr>
          <w:color w:val="000000"/>
          <w:lang w:eastAsia="ar-SA"/>
        </w:rPr>
        <w:t>бщая сумма расходов, произведенных в рамках муниципальн</w:t>
      </w:r>
      <w:r w:rsidR="00C950E0">
        <w:rPr>
          <w:color w:val="000000"/>
          <w:lang w:eastAsia="ar-SA"/>
        </w:rPr>
        <w:t>ой</w:t>
      </w:r>
      <w:r w:rsidR="00D7449B" w:rsidRPr="007E01A3">
        <w:rPr>
          <w:color w:val="000000"/>
          <w:lang w:eastAsia="ar-SA"/>
        </w:rPr>
        <w:t xml:space="preserve"> программ</w:t>
      </w:r>
      <w:r w:rsidR="00C950E0">
        <w:rPr>
          <w:color w:val="000000"/>
          <w:lang w:eastAsia="ar-SA"/>
        </w:rPr>
        <w:t>ы</w:t>
      </w:r>
      <w:r w:rsidR="00D7449B" w:rsidRPr="007E01A3">
        <w:rPr>
          <w:color w:val="000000"/>
          <w:lang w:eastAsia="ar-SA"/>
        </w:rPr>
        <w:t xml:space="preserve"> </w:t>
      </w:r>
      <w:r w:rsidR="004079B2">
        <w:rPr>
          <w:color w:val="000000"/>
          <w:lang w:eastAsia="ar-SA"/>
        </w:rPr>
        <w:t xml:space="preserve">«Реализация муниципальной политики на территории муниципального образования Саракташский поссовет Саракташского района Оренбургской области» </w:t>
      </w:r>
      <w:r w:rsidR="00D7449B" w:rsidRPr="007E01A3">
        <w:rPr>
          <w:color w:val="000000"/>
          <w:lang w:eastAsia="ar-SA"/>
        </w:rPr>
        <w:t xml:space="preserve">за </w:t>
      </w:r>
      <w:r w:rsidR="00D7449B">
        <w:rPr>
          <w:color w:val="000000"/>
          <w:lang w:eastAsia="ar-SA"/>
        </w:rPr>
        <w:t>1 полугодие</w:t>
      </w:r>
      <w:r w:rsidR="00D7449B" w:rsidRPr="007E01A3">
        <w:rPr>
          <w:color w:val="000000"/>
          <w:lang w:eastAsia="ar-SA"/>
        </w:rPr>
        <w:t xml:space="preserve"> 202</w:t>
      </w:r>
      <w:r w:rsidR="005A40BE">
        <w:rPr>
          <w:color w:val="000000"/>
          <w:lang w:eastAsia="ar-SA"/>
        </w:rPr>
        <w:t>4</w:t>
      </w:r>
      <w:r w:rsidR="00D7449B" w:rsidRPr="007E01A3">
        <w:rPr>
          <w:color w:val="000000"/>
          <w:lang w:eastAsia="ar-SA"/>
        </w:rPr>
        <w:t xml:space="preserve"> года составила </w:t>
      </w:r>
      <w:r w:rsidR="005A40BE" w:rsidRPr="00E54737">
        <w:rPr>
          <w:lang w:eastAsia="ar-SA"/>
        </w:rPr>
        <w:t xml:space="preserve">63 303 719,39 </w:t>
      </w:r>
      <w:r w:rsidR="00C950E0" w:rsidRPr="007E01A3">
        <w:rPr>
          <w:color w:val="000000"/>
          <w:lang w:eastAsia="ar-SA"/>
        </w:rPr>
        <w:t xml:space="preserve">рублей или </w:t>
      </w:r>
      <w:r w:rsidR="005A40BE">
        <w:rPr>
          <w:color w:val="000000"/>
          <w:lang w:eastAsia="ar-SA"/>
        </w:rPr>
        <w:t>41,</w:t>
      </w:r>
      <w:r w:rsidR="00C950E0">
        <w:rPr>
          <w:color w:val="000000"/>
          <w:lang w:eastAsia="ar-SA"/>
        </w:rPr>
        <w:t>1</w:t>
      </w:r>
      <w:r w:rsidR="00C950E0" w:rsidRPr="007E01A3">
        <w:rPr>
          <w:color w:val="000000"/>
          <w:lang w:eastAsia="ar-SA"/>
        </w:rPr>
        <w:t>% от общего объема утвержденных бюджетных назначений</w:t>
      </w:r>
      <w:r w:rsidR="00C950E0">
        <w:rPr>
          <w:color w:val="000000"/>
          <w:lang w:eastAsia="ar-SA"/>
        </w:rPr>
        <w:t xml:space="preserve"> (</w:t>
      </w:r>
      <w:r w:rsidR="005A40BE" w:rsidRPr="00E54737">
        <w:rPr>
          <w:lang w:eastAsia="ar-SA"/>
        </w:rPr>
        <w:t xml:space="preserve">152 995 746,52 </w:t>
      </w:r>
      <w:r w:rsidR="00C950E0">
        <w:rPr>
          <w:color w:val="000000"/>
          <w:lang w:eastAsia="ar-SA"/>
        </w:rPr>
        <w:t>рублей)</w:t>
      </w:r>
      <w:r w:rsidR="00C950E0" w:rsidRPr="007E01A3">
        <w:rPr>
          <w:color w:val="000000"/>
          <w:lang w:eastAsia="ar-SA"/>
        </w:rPr>
        <w:t>.</w:t>
      </w:r>
      <w:r w:rsidR="00C950E0">
        <w:rPr>
          <w:color w:val="000000"/>
          <w:lang w:eastAsia="ar-SA"/>
        </w:rPr>
        <w:t xml:space="preserve"> </w:t>
      </w:r>
    </w:p>
    <w:p w:rsidR="00C950E0" w:rsidRDefault="00C950E0" w:rsidP="003E3AD4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  <w:r w:rsidRPr="004F04C4">
        <w:rPr>
          <w:bCs/>
        </w:rPr>
        <w:t xml:space="preserve">        Непрограммные мероприятия сложились в сумме </w:t>
      </w:r>
      <w:r w:rsidR="005A40BE" w:rsidRPr="00E54737">
        <w:rPr>
          <w:bCs/>
        </w:rPr>
        <w:t xml:space="preserve">282 808,53 </w:t>
      </w:r>
      <w:r>
        <w:rPr>
          <w:bCs/>
        </w:rPr>
        <w:t xml:space="preserve">рублей, или </w:t>
      </w:r>
      <w:r w:rsidR="005A40BE">
        <w:rPr>
          <w:bCs/>
        </w:rPr>
        <w:t>0,4</w:t>
      </w:r>
      <w:r w:rsidRPr="004F04C4">
        <w:rPr>
          <w:bCs/>
        </w:rPr>
        <w:t>% в общей сумме расходов.</w:t>
      </w:r>
    </w:p>
    <w:p w:rsidR="004079B2" w:rsidRDefault="007C65C5" w:rsidP="003E3AD4">
      <w:pPr>
        <w:tabs>
          <w:tab w:val="left" w:pos="567"/>
        </w:tabs>
        <w:spacing w:line="276" w:lineRule="auto"/>
        <w:jc w:val="both"/>
        <w:rPr>
          <w:color w:val="000000"/>
        </w:rPr>
      </w:pPr>
      <w:r>
        <w:t xml:space="preserve">       </w:t>
      </w:r>
      <w:r w:rsidR="00D86BFF">
        <w:t xml:space="preserve"> 7</w:t>
      </w:r>
      <w:r w:rsidR="004079B2">
        <w:rPr>
          <w:color w:val="000000"/>
          <w:lang w:eastAsia="ar-SA"/>
        </w:rPr>
        <w:t>. Согласно Сведениям по дебиторской и кредиторской задолженности (ф. 050</w:t>
      </w:r>
      <w:r w:rsidR="005A40BE">
        <w:rPr>
          <w:color w:val="000000"/>
          <w:lang w:eastAsia="ar-SA"/>
        </w:rPr>
        <w:t>3169) по состоянию на 01.07.2024</w:t>
      </w:r>
      <w:r w:rsidR="004079B2">
        <w:rPr>
          <w:color w:val="000000"/>
          <w:lang w:eastAsia="ar-SA"/>
        </w:rPr>
        <w:t xml:space="preserve"> дебиторская задолженность составила </w:t>
      </w:r>
      <w:r w:rsidR="005A40BE">
        <w:rPr>
          <w:color w:val="000000"/>
        </w:rPr>
        <w:t>168 286 467,28</w:t>
      </w:r>
      <w:r w:rsidR="005A40BE" w:rsidRPr="00F63618">
        <w:rPr>
          <w:color w:val="000000"/>
        </w:rPr>
        <w:t xml:space="preserve"> </w:t>
      </w:r>
      <w:r w:rsidR="004079B2" w:rsidRPr="00F63618">
        <w:rPr>
          <w:color w:val="000000"/>
        </w:rPr>
        <w:t>р</w:t>
      </w:r>
      <w:r w:rsidR="004079B2">
        <w:rPr>
          <w:color w:val="000000"/>
        </w:rPr>
        <w:t>ублей</w:t>
      </w:r>
      <w:r w:rsidR="004079B2">
        <w:rPr>
          <w:color w:val="000000"/>
          <w:lang w:eastAsia="ar-SA"/>
        </w:rPr>
        <w:t xml:space="preserve">, </w:t>
      </w:r>
      <w:r w:rsidR="004079B2">
        <w:rPr>
          <w:color w:val="000000"/>
        </w:rPr>
        <w:t>уменьшилась относительно начала года (</w:t>
      </w:r>
      <w:r w:rsidR="005A40BE">
        <w:rPr>
          <w:color w:val="000000"/>
        </w:rPr>
        <w:t xml:space="preserve">201 040 777,29 </w:t>
      </w:r>
      <w:r w:rsidR="004079B2">
        <w:rPr>
          <w:color w:val="000000"/>
        </w:rPr>
        <w:t xml:space="preserve">рублей) на сумму </w:t>
      </w:r>
      <w:r w:rsidR="005A40BE">
        <w:rPr>
          <w:color w:val="000000"/>
        </w:rPr>
        <w:t>32 754 310,01</w:t>
      </w:r>
      <w:r w:rsidR="005A40BE" w:rsidRPr="00F63618">
        <w:rPr>
          <w:color w:val="000000"/>
        </w:rPr>
        <w:t xml:space="preserve"> </w:t>
      </w:r>
      <w:r w:rsidR="004079B2">
        <w:rPr>
          <w:color w:val="000000"/>
        </w:rPr>
        <w:t>рублей.</w:t>
      </w:r>
      <w:r w:rsidR="004079B2" w:rsidRPr="004079B2">
        <w:rPr>
          <w:color w:val="000000"/>
        </w:rPr>
        <w:t xml:space="preserve"> </w:t>
      </w:r>
      <w:r w:rsidR="004079B2" w:rsidRPr="00F63618">
        <w:rPr>
          <w:color w:val="000000"/>
        </w:rPr>
        <w:t>Просроченн</w:t>
      </w:r>
      <w:r w:rsidR="004079B2">
        <w:rPr>
          <w:color w:val="000000"/>
        </w:rPr>
        <w:t xml:space="preserve">ая дебиторская </w:t>
      </w:r>
      <w:r w:rsidR="004079B2" w:rsidRPr="00F63618">
        <w:rPr>
          <w:color w:val="000000"/>
        </w:rPr>
        <w:t>задолженность</w:t>
      </w:r>
      <w:r w:rsidR="004079B2">
        <w:rPr>
          <w:color w:val="000000"/>
        </w:rPr>
        <w:t xml:space="preserve"> </w:t>
      </w:r>
      <w:r w:rsidR="004079B2" w:rsidRPr="00F63618">
        <w:rPr>
          <w:color w:val="000000"/>
        </w:rPr>
        <w:t xml:space="preserve">по данным бухгалтерской отчетности </w:t>
      </w:r>
      <w:r w:rsidR="004079B2">
        <w:rPr>
          <w:color w:val="000000"/>
        </w:rPr>
        <w:t xml:space="preserve">значится в размере </w:t>
      </w:r>
      <w:r w:rsidR="00D86BFF">
        <w:rPr>
          <w:color w:val="000000"/>
        </w:rPr>
        <w:t xml:space="preserve">1 366 260,06 </w:t>
      </w:r>
      <w:r w:rsidR="004079B2">
        <w:rPr>
          <w:color w:val="000000"/>
        </w:rPr>
        <w:t>рублей.</w:t>
      </w:r>
    </w:p>
    <w:p w:rsidR="004079B2" w:rsidRDefault="003E3AD4" w:rsidP="003E3AD4">
      <w:pPr>
        <w:widowControl w:val="0"/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4079B2">
        <w:rPr>
          <w:color w:val="000000"/>
        </w:rPr>
        <w:t>Сумма кредиторской задолженности по состоянию на 01.07.202</w:t>
      </w:r>
      <w:r w:rsidR="00D86BFF">
        <w:rPr>
          <w:color w:val="000000"/>
        </w:rPr>
        <w:t>4</w:t>
      </w:r>
      <w:r w:rsidR="004079B2">
        <w:rPr>
          <w:color w:val="000000"/>
        </w:rPr>
        <w:t xml:space="preserve"> составила </w:t>
      </w:r>
      <w:r w:rsidR="00D86BFF">
        <w:rPr>
          <w:color w:val="000000"/>
        </w:rPr>
        <w:t>2 548 979,49</w:t>
      </w:r>
      <w:r w:rsidR="00D86BFF" w:rsidRPr="00F63618">
        <w:rPr>
          <w:color w:val="000000"/>
        </w:rPr>
        <w:t xml:space="preserve"> </w:t>
      </w:r>
      <w:r w:rsidR="004079B2" w:rsidRPr="00F63618">
        <w:rPr>
          <w:color w:val="000000"/>
        </w:rPr>
        <w:t>рублей</w:t>
      </w:r>
      <w:r w:rsidR="004079B2">
        <w:rPr>
          <w:color w:val="000000"/>
        </w:rPr>
        <w:t>, уменьшилась относительно начала года (</w:t>
      </w:r>
      <w:r w:rsidR="00D86BFF">
        <w:rPr>
          <w:color w:val="000000"/>
        </w:rPr>
        <w:t>2 573 044,57</w:t>
      </w:r>
      <w:r w:rsidR="00D86BFF" w:rsidRPr="00F63618">
        <w:rPr>
          <w:color w:val="000000"/>
        </w:rPr>
        <w:t xml:space="preserve"> </w:t>
      </w:r>
      <w:r w:rsidR="004079B2">
        <w:rPr>
          <w:color w:val="000000"/>
        </w:rPr>
        <w:t xml:space="preserve">рублей) на сумму </w:t>
      </w:r>
      <w:r w:rsidR="00D86BFF">
        <w:rPr>
          <w:color w:val="000000"/>
        </w:rPr>
        <w:t xml:space="preserve">24 065,08 </w:t>
      </w:r>
      <w:r w:rsidR="004079B2" w:rsidRPr="00F63618">
        <w:rPr>
          <w:color w:val="000000"/>
        </w:rPr>
        <w:t>рублей</w:t>
      </w:r>
      <w:r w:rsidR="004079B2">
        <w:rPr>
          <w:color w:val="000000"/>
        </w:rPr>
        <w:t>.</w:t>
      </w:r>
      <w:r>
        <w:rPr>
          <w:color w:val="000000"/>
        </w:rPr>
        <w:t xml:space="preserve"> </w:t>
      </w:r>
      <w:r w:rsidR="004079B2">
        <w:rPr>
          <w:color w:val="000000"/>
        </w:rPr>
        <w:t>Просроченной кредиторской задолженности по состоянию на 01.07.202</w:t>
      </w:r>
      <w:r w:rsidR="00D86BFF">
        <w:rPr>
          <w:color w:val="000000"/>
        </w:rPr>
        <w:t>4</w:t>
      </w:r>
      <w:r w:rsidR="004079B2">
        <w:rPr>
          <w:color w:val="000000"/>
        </w:rPr>
        <w:t xml:space="preserve"> нет.</w:t>
      </w:r>
    </w:p>
    <w:p w:rsidR="00D86BFF" w:rsidRDefault="00D86BFF" w:rsidP="003E3AD4">
      <w:pPr>
        <w:widowControl w:val="0"/>
        <w:tabs>
          <w:tab w:val="left" w:pos="567"/>
        </w:tabs>
        <w:spacing w:line="276" w:lineRule="auto"/>
        <w:jc w:val="both"/>
        <w:rPr>
          <w:color w:val="000000"/>
        </w:rPr>
      </w:pPr>
    </w:p>
    <w:p w:rsidR="00D86BFF" w:rsidRDefault="00D86BFF" w:rsidP="00D86BFF">
      <w:pPr>
        <w:tabs>
          <w:tab w:val="left" w:pos="567"/>
        </w:tabs>
        <w:spacing w:line="276" w:lineRule="auto"/>
        <w:jc w:val="both"/>
      </w:pPr>
      <w:r>
        <w:t xml:space="preserve">        8</w:t>
      </w:r>
      <w:r w:rsidR="003E3AD4">
        <w:t xml:space="preserve">. </w:t>
      </w:r>
      <w:r w:rsidR="00553D17" w:rsidRPr="00472D01">
        <w:t xml:space="preserve">Бюджет муниципального образования Саракташский поссовет за </w:t>
      </w:r>
      <w:r w:rsidR="00553D17">
        <w:t>1 полугодие</w:t>
      </w:r>
      <w:r w:rsidR="00553D17" w:rsidRPr="00472D01">
        <w:t xml:space="preserve"> 202</w:t>
      </w:r>
      <w:r>
        <w:t>4</w:t>
      </w:r>
      <w:r w:rsidR="00553D17" w:rsidRPr="00472D01">
        <w:t xml:space="preserve"> года исполнен с</w:t>
      </w:r>
      <w:r>
        <w:t xml:space="preserve"> дефицитом</w:t>
      </w:r>
      <w:r w:rsidRPr="00472D01">
        <w:t xml:space="preserve"> в размере </w:t>
      </w:r>
      <w:r>
        <w:t xml:space="preserve">3 332 554,45 </w:t>
      </w:r>
      <w:r w:rsidRPr="00472D01">
        <w:t>рублей</w:t>
      </w:r>
      <w:r w:rsidR="00553D17" w:rsidRPr="00AE2F1B">
        <w:t xml:space="preserve">. </w:t>
      </w:r>
      <w:r w:rsidR="00553D17" w:rsidRPr="00AE2F1B">
        <w:rPr>
          <w:rStyle w:val="apple-converted-space"/>
          <w:shd w:val="clear" w:color="auto" w:fill="FFFFFF"/>
        </w:rPr>
        <w:t xml:space="preserve">В аналогичном периоде прошлого года местный бюджет был исполнен </w:t>
      </w:r>
      <w:r w:rsidR="00553D17" w:rsidRPr="00AE2F1B">
        <w:t xml:space="preserve">с профицитом в размере </w:t>
      </w:r>
      <w:r>
        <w:t xml:space="preserve">556 173,54 </w:t>
      </w:r>
      <w:r w:rsidRPr="00076260">
        <w:t>рублей</w:t>
      </w:r>
    </w:p>
    <w:p w:rsidR="00553D17" w:rsidRDefault="00553D17" w:rsidP="00D86BFF">
      <w:pPr>
        <w:tabs>
          <w:tab w:val="left" w:pos="567"/>
        </w:tabs>
        <w:spacing w:line="276" w:lineRule="auto"/>
        <w:jc w:val="both"/>
        <w:rPr>
          <w:bCs/>
        </w:rPr>
      </w:pPr>
      <w:r>
        <w:rPr>
          <w:bCs/>
        </w:rPr>
        <w:t xml:space="preserve">        </w:t>
      </w:r>
      <w:r w:rsidR="00D86BFF">
        <w:rPr>
          <w:bCs/>
        </w:rPr>
        <w:t>9</w:t>
      </w:r>
      <w:r w:rsidRPr="00472D01">
        <w:rPr>
          <w:bCs/>
        </w:rPr>
        <w:t>. Остаток денежных средств на счете по состоянию на 01.0</w:t>
      </w:r>
      <w:r>
        <w:rPr>
          <w:bCs/>
        </w:rPr>
        <w:t>7</w:t>
      </w:r>
      <w:r w:rsidRPr="00472D01">
        <w:rPr>
          <w:bCs/>
        </w:rPr>
        <w:t>.202</w:t>
      </w:r>
      <w:r w:rsidR="00D86BFF">
        <w:rPr>
          <w:bCs/>
        </w:rPr>
        <w:t>4</w:t>
      </w:r>
      <w:r w:rsidRPr="00472D01">
        <w:rPr>
          <w:bCs/>
        </w:rPr>
        <w:t xml:space="preserve"> года сложился в сумме </w:t>
      </w:r>
      <w:r w:rsidR="00D86BFF">
        <w:rPr>
          <w:bCs/>
        </w:rPr>
        <w:t>1 455 397,07</w:t>
      </w:r>
      <w:r w:rsidR="00D86BFF" w:rsidRPr="00472D01">
        <w:rPr>
          <w:bCs/>
        </w:rPr>
        <w:t xml:space="preserve"> </w:t>
      </w:r>
      <w:r w:rsidRPr="00472D01">
        <w:rPr>
          <w:bCs/>
        </w:rPr>
        <w:t>рублей.</w:t>
      </w:r>
      <w:r>
        <w:rPr>
          <w:bCs/>
        </w:rPr>
        <w:t xml:space="preserve"> </w:t>
      </w:r>
    </w:p>
    <w:p w:rsidR="00553D17" w:rsidRDefault="00553D17" w:rsidP="003E3AD4">
      <w:pPr>
        <w:widowControl w:val="0"/>
        <w:tabs>
          <w:tab w:val="left" w:pos="0"/>
          <w:tab w:val="left" w:pos="993"/>
        </w:tabs>
        <w:spacing w:line="276" w:lineRule="auto"/>
        <w:ind w:left="284"/>
        <w:jc w:val="both"/>
        <w:rPr>
          <w:bCs/>
        </w:rPr>
      </w:pPr>
    </w:p>
    <w:p w:rsidR="00D86BFF" w:rsidRDefault="00D86BFF" w:rsidP="00D86BFF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</w:p>
    <w:p w:rsidR="00553D17" w:rsidRDefault="00553D17" w:rsidP="004079B2">
      <w:pPr>
        <w:widowControl w:val="0"/>
        <w:ind w:firstLine="567"/>
        <w:jc w:val="both"/>
        <w:rPr>
          <w:color w:val="000000"/>
        </w:rPr>
      </w:pPr>
    </w:p>
    <w:p w:rsidR="00434979" w:rsidRDefault="00434979" w:rsidP="00434979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</w:p>
    <w:tbl>
      <w:tblPr>
        <w:tblW w:w="13742" w:type="dxa"/>
        <w:tblInd w:w="-106" w:type="dxa"/>
        <w:tblLook w:val="01E0" w:firstRow="1" w:lastRow="1" w:firstColumn="1" w:lastColumn="1" w:noHBand="0" w:noVBand="0"/>
      </w:tblPr>
      <w:tblGrid>
        <w:gridCol w:w="13742"/>
      </w:tblGrid>
      <w:tr w:rsidR="007C65C5" w:rsidRPr="00B03FAF" w:rsidTr="007C65C5">
        <w:trPr>
          <w:trHeight w:val="2434"/>
        </w:trPr>
        <w:tc>
          <w:tcPr>
            <w:tcW w:w="13742" w:type="dxa"/>
          </w:tcPr>
          <w:p w:rsidR="007C65C5" w:rsidRDefault="007C65C5" w:rsidP="00286668">
            <w:pPr>
              <w:ind w:right="45"/>
              <w:jc w:val="both"/>
            </w:pPr>
          </w:p>
          <w:p w:rsidR="007C65C5" w:rsidRDefault="007C65C5" w:rsidP="00433199">
            <w:pPr>
              <w:ind w:right="45"/>
              <w:jc w:val="both"/>
            </w:pPr>
            <w:r>
              <w:t xml:space="preserve">     Председатель Сч</w:t>
            </w:r>
            <w:r w:rsidRPr="00B03FAF">
              <w:t>етной палаты</w:t>
            </w:r>
            <w:r>
              <w:t xml:space="preserve"> </w:t>
            </w:r>
          </w:p>
          <w:p w:rsidR="007C65C5" w:rsidRPr="00B03FAF" w:rsidRDefault="007C65C5" w:rsidP="00E15A2F">
            <w:pPr>
              <w:ind w:right="45"/>
              <w:jc w:val="both"/>
            </w:pPr>
            <w:r>
              <w:t xml:space="preserve">     Саракташского поссовета                                                        Л.А. Никонова        </w:t>
            </w:r>
          </w:p>
        </w:tc>
      </w:tr>
    </w:tbl>
    <w:p w:rsidR="00F4402F" w:rsidRPr="00B03FAF" w:rsidRDefault="00F4402F" w:rsidP="00C53813">
      <w:pPr>
        <w:widowControl w:val="0"/>
        <w:jc w:val="both"/>
        <w:rPr>
          <w:spacing w:val="-7"/>
        </w:rPr>
      </w:pPr>
    </w:p>
    <w:p w:rsidR="000B0CA7" w:rsidRPr="004079B2" w:rsidRDefault="000B0CA7" w:rsidP="004079B2">
      <w:pPr>
        <w:widowControl w:val="0"/>
        <w:ind w:firstLine="567"/>
        <w:jc w:val="both"/>
        <w:rPr>
          <w:color w:val="000000"/>
          <w:lang w:eastAsia="ar-SA"/>
        </w:rPr>
        <w:sectPr w:rsidR="000B0CA7" w:rsidRPr="004079B2" w:rsidSect="007C65C5">
          <w:headerReference w:type="default" r:id="rId13"/>
          <w:pgSz w:w="11906" w:h="16838"/>
          <w:pgMar w:top="567" w:right="707" w:bottom="426" w:left="1276" w:header="709" w:footer="709" w:gutter="0"/>
          <w:cols w:space="708"/>
          <w:titlePg/>
          <w:rtlGutter/>
          <w:docGrid w:linePitch="360"/>
        </w:sectPr>
      </w:pPr>
    </w:p>
    <w:p w:rsidR="000B0CA7" w:rsidRDefault="000B0CA7" w:rsidP="000B0CA7">
      <w:pPr>
        <w:jc w:val="right"/>
      </w:pPr>
      <w:r w:rsidRPr="00FE5FAE">
        <w:t xml:space="preserve">Приложение 1 </w:t>
      </w:r>
    </w:p>
    <w:p w:rsidR="000B0CA7" w:rsidRPr="00101F6E" w:rsidRDefault="000B0CA7" w:rsidP="000B0CA7">
      <w:pPr>
        <w:jc w:val="center"/>
        <w:rPr>
          <w:b/>
          <w:bCs/>
        </w:rPr>
      </w:pPr>
      <w:r w:rsidRPr="00101F6E">
        <w:rPr>
          <w:b/>
          <w:bCs/>
        </w:rPr>
        <w:t xml:space="preserve">Анализ исполнения </w:t>
      </w:r>
      <w:r>
        <w:rPr>
          <w:b/>
          <w:bCs/>
        </w:rPr>
        <w:t>б</w:t>
      </w:r>
      <w:r w:rsidRPr="00101F6E">
        <w:rPr>
          <w:b/>
          <w:bCs/>
        </w:rPr>
        <w:t xml:space="preserve">юджета </w:t>
      </w:r>
      <w:r w:rsidR="006E2983">
        <w:rPr>
          <w:b/>
          <w:bCs/>
        </w:rPr>
        <w:t xml:space="preserve">муниципального образования Саракташский поссовет </w:t>
      </w:r>
      <w:r w:rsidRPr="00101F6E">
        <w:rPr>
          <w:b/>
          <w:bCs/>
        </w:rPr>
        <w:t xml:space="preserve">за </w:t>
      </w:r>
      <w:r>
        <w:rPr>
          <w:b/>
          <w:bCs/>
        </w:rPr>
        <w:t xml:space="preserve">1 </w:t>
      </w:r>
      <w:r w:rsidR="00D96FFE">
        <w:rPr>
          <w:b/>
          <w:bCs/>
        </w:rPr>
        <w:t xml:space="preserve">полугодие </w:t>
      </w:r>
      <w:r w:rsidRPr="00101F6E">
        <w:rPr>
          <w:b/>
          <w:bCs/>
        </w:rPr>
        <w:t>20</w:t>
      </w:r>
      <w:r w:rsidR="00802F19">
        <w:rPr>
          <w:b/>
          <w:bCs/>
        </w:rPr>
        <w:t>2</w:t>
      </w:r>
      <w:r w:rsidR="000E6300">
        <w:rPr>
          <w:b/>
          <w:bCs/>
        </w:rPr>
        <w:t>4</w:t>
      </w:r>
      <w:r w:rsidRPr="00101F6E">
        <w:rPr>
          <w:b/>
          <w:bCs/>
        </w:rPr>
        <w:t xml:space="preserve"> года</w:t>
      </w:r>
    </w:p>
    <w:p w:rsidR="000B0CA7" w:rsidRPr="00101F6E" w:rsidRDefault="006E2983" w:rsidP="000B0CA7">
      <w:pPr>
        <w:jc w:val="right"/>
      </w:pPr>
      <w:r>
        <w:t>(руб.)</w:t>
      </w:r>
    </w:p>
    <w:tbl>
      <w:tblPr>
        <w:tblW w:w="14821" w:type="dxa"/>
        <w:jc w:val="center"/>
        <w:tblLayout w:type="fixed"/>
        <w:tblLook w:val="04A0" w:firstRow="1" w:lastRow="0" w:firstColumn="1" w:lastColumn="0" w:noHBand="0" w:noVBand="1"/>
      </w:tblPr>
      <w:tblGrid>
        <w:gridCol w:w="6221"/>
        <w:gridCol w:w="2551"/>
        <w:gridCol w:w="1560"/>
        <w:gridCol w:w="1417"/>
        <w:gridCol w:w="709"/>
        <w:gridCol w:w="1417"/>
        <w:gridCol w:w="946"/>
      </w:tblGrid>
      <w:tr w:rsidR="00462292" w:rsidRPr="00BD11E8" w:rsidTr="00462292">
        <w:trPr>
          <w:trHeight w:val="495"/>
          <w:tblHeader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" w:name="RANGE!A1:G160"/>
            <w:r w:rsidRPr="00BD11E8">
              <w:rPr>
                <w:i/>
                <w:iCs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B0CA7" w:rsidRPr="00BD11E8" w:rsidRDefault="000B0CA7" w:rsidP="00D2244A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D96FFE">
              <w:rPr>
                <w:i/>
                <w:iCs/>
                <w:sz w:val="20"/>
                <w:szCs w:val="20"/>
              </w:rPr>
              <w:t>7</w:t>
            </w:r>
            <w:r w:rsidRPr="00BD11E8">
              <w:rPr>
                <w:i/>
                <w:iCs/>
                <w:sz w:val="20"/>
                <w:szCs w:val="20"/>
              </w:rPr>
              <w:t>.20</w:t>
            </w:r>
            <w:r w:rsidR="00654A47">
              <w:rPr>
                <w:i/>
                <w:iCs/>
                <w:sz w:val="20"/>
                <w:szCs w:val="20"/>
              </w:rPr>
              <w:t>2</w:t>
            </w:r>
            <w:r w:rsidR="00D2244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Процент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0E6300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0E6300">
              <w:rPr>
                <w:i/>
                <w:iCs/>
                <w:sz w:val="20"/>
                <w:szCs w:val="20"/>
              </w:rPr>
              <w:t>7</w:t>
            </w:r>
            <w:r w:rsidRPr="00BD11E8">
              <w:rPr>
                <w:i/>
                <w:iCs/>
                <w:sz w:val="20"/>
                <w:szCs w:val="20"/>
              </w:rPr>
              <w:t>.20</w:t>
            </w:r>
            <w:r w:rsidR="006733B4">
              <w:rPr>
                <w:i/>
                <w:iCs/>
                <w:sz w:val="20"/>
                <w:szCs w:val="20"/>
              </w:rPr>
              <w:t>2</w:t>
            </w:r>
            <w:r w:rsidR="000E6300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BD11E8">
              <w:rPr>
                <w:i/>
                <w:iCs/>
                <w:sz w:val="20"/>
                <w:szCs w:val="20"/>
              </w:rPr>
              <w:t xml:space="preserve">ние на 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BD11E8">
              <w:rPr>
                <w:i/>
                <w:iCs/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>0</w:t>
            </w:r>
            <w:r w:rsidR="00951598">
              <w:rPr>
                <w:i/>
                <w:iCs/>
                <w:sz w:val="20"/>
                <w:szCs w:val="20"/>
              </w:rPr>
              <w:t>7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="00A933CC">
              <w:rPr>
                <w:i/>
                <w:iCs/>
                <w:sz w:val="20"/>
                <w:szCs w:val="20"/>
              </w:rPr>
              <w:t>2</w:t>
            </w:r>
            <w:r w:rsidR="00D2244A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 xml:space="preserve"> к исп</w:t>
            </w:r>
            <w:r>
              <w:rPr>
                <w:i/>
                <w:iCs/>
                <w:sz w:val="20"/>
                <w:szCs w:val="20"/>
              </w:rPr>
              <w:t>-ни</w:t>
            </w:r>
            <w:r w:rsidRPr="00BD11E8">
              <w:rPr>
                <w:i/>
                <w:iCs/>
                <w:sz w:val="20"/>
                <w:szCs w:val="20"/>
              </w:rPr>
              <w:t>ю на 01.0</w:t>
            </w:r>
            <w:r w:rsidR="00951598">
              <w:rPr>
                <w:i/>
                <w:iCs/>
                <w:sz w:val="20"/>
                <w:szCs w:val="20"/>
              </w:rPr>
              <w:t>7</w:t>
            </w:r>
            <w:r w:rsidRPr="00BD11E8">
              <w:rPr>
                <w:i/>
                <w:iCs/>
                <w:sz w:val="20"/>
                <w:szCs w:val="20"/>
              </w:rPr>
              <w:t>.</w:t>
            </w:r>
          </w:p>
          <w:p w:rsidR="000B0CA7" w:rsidRPr="00BD11E8" w:rsidRDefault="000B0CA7" w:rsidP="00BB709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="006733B4">
              <w:rPr>
                <w:i/>
                <w:iCs/>
                <w:sz w:val="20"/>
                <w:szCs w:val="20"/>
              </w:rPr>
              <w:t>2</w:t>
            </w:r>
            <w:r w:rsidR="00D2244A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462292" w:rsidRPr="00BD11E8" w:rsidTr="00462292">
        <w:trPr>
          <w:trHeight w:val="225"/>
          <w:tblHeader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0E6300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70D0E" w:rsidRDefault="000E6300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300" w:rsidRPr="00770D0E" w:rsidRDefault="000E6300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770D0E" w:rsidRDefault="000E630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149 187 795,00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770D0E" w:rsidRDefault="005B5C6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60 253 973,47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D6F09" w:rsidRDefault="00C40407" w:rsidP="00E30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70D0E" w:rsidRDefault="000E6300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40 573 397,69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70D0E" w:rsidRDefault="007F658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148,5</w:t>
            </w:r>
          </w:p>
        </w:tc>
      </w:tr>
      <w:tr w:rsidR="000E6300" w:rsidRPr="00770D0E" w:rsidTr="00462292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70D0E" w:rsidRDefault="000E6300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70D0E" w:rsidRDefault="000E6300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770D0E" w:rsidRDefault="000E630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52 436 000,00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770D0E" w:rsidRDefault="005B5C6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25 910 723,47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D6F09" w:rsidRDefault="00C40407" w:rsidP="005B0A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70D0E" w:rsidRDefault="000E6300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20 705 098,69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70D0E" w:rsidRDefault="007F658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125,1</w:t>
            </w:r>
          </w:p>
        </w:tc>
      </w:tr>
      <w:tr w:rsidR="000E6300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70D0E" w:rsidRDefault="000E6300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70D0E" w:rsidRDefault="000E6300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770D0E" w:rsidRDefault="006470E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26 891 000,00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770D0E" w:rsidRDefault="005B5C6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12 687 630,54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D6F09" w:rsidRDefault="00C4040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70D0E" w:rsidRDefault="000E6300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10 416 138,52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70D0E" w:rsidRDefault="007F658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121,8</w:t>
            </w:r>
          </w:p>
        </w:tc>
      </w:tr>
      <w:tr w:rsidR="000E6300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17BC1" w:rsidRDefault="000E6300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6470E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26 891 000,00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717BC1" w:rsidRDefault="005B5C6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12 687 630,54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6B77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10 416 138,52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7F658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0E6300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17BC1" w:rsidRDefault="000E6300" w:rsidP="00354AD8">
            <w:pPr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354AD8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 xml:space="preserve">000 1 03 </w:t>
            </w:r>
            <w:r w:rsidRPr="00717BC1">
              <w:rPr>
                <w:b/>
                <w:bCs/>
                <w:sz w:val="20"/>
                <w:szCs w:val="20"/>
              </w:rPr>
              <w:t>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6470E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11 975 000,00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717BC1" w:rsidRDefault="005B5C68" w:rsidP="00654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5 761 339,94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C40407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6B7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5 573 371,20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7F6580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103,4</w:t>
            </w:r>
          </w:p>
        </w:tc>
      </w:tr>
      <w:tr w:rsidR="000E6300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17BC1" w:rsidRDefault="000E6300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EA53F8" w:rsidRDefault="006470ED" w:rsidP="00BC33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11 975 000,00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EA53F8" w:rsidRDefault="005B5C68" w:rsidP="00BC3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5 761 339,94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EA53F8" w:rsidRDefault="000E6300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5 573 371,20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7F658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</w:tr>
      <w:tr w:rsidR="000E6300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17BC1" w:rsidRDefault="000E6300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6470ED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4 103 000,00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717BC1" w:rsidRDefault="005B5C68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2 419 556,90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C4040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6B7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2 433 720,09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7F658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</w:t>
            </w:r>
          </w:p>
        </w:tc>
      </w:tr>
      <w:tr w:rsidR="000E6300" w:rsidRPr="00717BC1" w:rsidTr="00462292">
        <w:trPr>
          <w:trHeight w:val="45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17BC1" w:rsidRDefault="000E6300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6470ED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717BC1" w:rsidRDefault="005B5C6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1 911 086,90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1 475 457,57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7F658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</w:t>
            </w:r>
          </w:p>
        </w:tc>
      </w:tr>
      <w:tr w:rsidR="000E6300" w:rsidRPr="00717BC1" w:rsidTr="00462292">
        <w:trPr>
          <w:trHeight w:val="32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300" w:rsidRPr="00717BC1" w:rsidRDefault="000E6300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6300" w:rsidRPr="00717BC1" w:rsidRDefault="000E6300" w:rsidP="009E1CC7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E6300" w:rsidRPr="00717BC1" w:rsidRDefault="006470ED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:rsidR="000E6300" w:rsidRPr="00717BC1" w:rsidRDefault="005B5C68" w:rsidP="00EA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508 470,00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6300" w:rsidRPr="00717BC1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6300" w:rsidRPr="00717BC1" w:rsidRDefault="000E6300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958 262,52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6300" w:rsidRPr="00717BC1" w:rsidRDefault="007F658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</w:tr>
      <w:tr w:rsidR="000E6300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17BC1" w:rsidRDefault="000E6300" w:rsidP="00942F84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942F84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6470E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9 424 000,00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717BC1" w:rsidRDefault="005B5C6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2 958 550,08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C4040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1 885 522,17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7F658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156,9</w:t>
            </w:r>
          </w:p>
        </w:tc>
      </w:tr>
      <w:tr w:rsidR="000E6300" w:rsidRPr="00717BC1" w:rsidTr="00462292">
        <w:trPr>
          <w:trHeight w:val="264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17BC1" w:rsidRDefault="000E6300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942F84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6470ED" w:rsidP="00654A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2 085 000,00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717BC1" w:rsidRDefault="005B5C6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351 131,12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C4040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6B77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-161 567,81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7F6580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E6300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17BC1" w:rsidRDefault="000E6300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942F84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6470E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7 339 000,00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717BC1" w:rsidRDefault="005B5C6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2 607 418,96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C4040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6B77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2 047 089,98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7F6580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127,4</w:t>
            </w:r>
          </w:p>
        </w:tc>
      </w:tr>
      <w:tr w:rsidR="000E6300" w:rsidRPr="003A44EE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392792" w:rsidRDefault="000E6300" w:rsidP="00354AD8">
            <w:pPr>
              <w:rPr>
                <w:b/>
                <w:bCs/>
                <w:sz w:val="20"/>
                <w:szCs w:val="20"/>
              </w:rPr>
            </w:pPr>
            <w:r w:rsidRPr="0039279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3927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17BC1"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392792" w:rsidRDefault="004E18E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392792" w:rsidRDefault="005B5C6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3C1528" w:rsidRDefault="00C4040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392792" w:rsidRDefault="000E6300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3A44EE" w:rsidRDefault="007F658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36,5</w:t>
            </w:r>
          </w:p>
        </w:tc>
      </w:tr>
      <w:tr w:rsidR="000E6300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17BC1" w:rsidRDefault="000E6300" w:rsidP="00354A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8952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000 1 08</w:t>
            </w:r>
            <w:r w:rsidRPr="00717BC1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7</w:t>
            </w:r>
            <w:r w:rsidRPr="00717BC1">
              <w:rPr>
                <w:bCs/>
                <w:sz w:val="20"/>
                <w:szCs w:val="20"/>
              </w:rPr>
              <w:t>000 0</w:t>
            </w:r>
            <w:r>
              <w:rPr>
                <w:bCs/>
                <w:sz w:val="20"/>
                <w:szCs w:val="20"/>
              </w:rPr>
              <w:t>1</w:t>
            </w:r>
            <w:r w:rsidRPr="00717BC1">
              <w:rPr>
                <w:bCs/>
                <w:sz w:val="20"/>
                <w:szCs w:val="20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Default="004E18E0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Default="005B5C6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C4040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Default="000E6300" w:rsidP="006B77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7F6580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36,5</w:t>
            </w:r>
          </w:p>
        </w:tc>
      </w:tr>
      <w:tr w:rsidR="000E6300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943ED6" w:rsidRDefault="000E6300" w:rsidP="00354A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DC3669">
            <w:pPr>
              <w:jc w:val="center"/>
              <w:rPr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000 1 1</w:t>
            </w:r>
            <w:r>
              <w:rPr>
                <w:b/>
                <w:sz w:val="20"/>
                <w:szCs w:val="20"/>
              </w:rPr>
              <w:t>1</w:t>
            </w:r>
            <w:r w:rsidRPr="00717BC1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4E4A09" w:rsidRDefault="004E18E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4E4A09" w:rsidRDefault="005B5C6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81 189,01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4E4A09" w:rsidRDefault="00C40407" w:rsidP="005B0A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4E4A09" w:rsidRDefault="000E6300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35 095,71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Default="007F6580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231,3</w:t>
            </w:r>
          </w:p>
        </w:tc>
      </w:tr>
      <w:tr w:rsidR="000E6300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Default="000E6300" w:rsidP="005B5C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5B5C68">
              <w:rPr>
                <w:bCs/>
                <w:sz w:val="20"/>
                <w:szCs w:val="2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DC3669" w:rsidRDefault="000E6300" w:rsidP="00BC3336">
            <w:pPr>
              <w:jc w:val="center"/>
              <w:rPr>
                <w:sz w:val="20"/>
                <w:szCs w:val="20"/>
              </w:rPr>
            </w:pPr>
            <w:r w:rsidRPr="00DC3669">
              <w:rPr>
                <w:sz w:val="20"/>
                <w:szCs w:val="20"/>
              </w:rPr>
              <w:t>000 1 1</w:t>
            </w:r>
            <w:r>
              <w:rPr>
                <w:sz w:val="20"/>
                <w:szCs w:val="20"/>
              </w:rPr>
              <w:t>1 09</w:t>
            </w:r>
            <w:r w:rsidRPr="00DC3669">
              <w:rPr>
                <w:sz w:val="20"/>
                <w:szCs w:val="20"/>
              </w:rPr>
              <w:t>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Default="004E18E0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Default="005B5C6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81 189,01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Default="00C4040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Default="000E6300" w:rsidP="006B77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35 095,71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Default="007F6580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231,3</w:t>
            </w:r>
          </w:p>
        </w:tc>
      </w:tr>
      <w:tr w:rsidR="000E6300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895287" w:rsidRDefault="000E6300" w:rsidP="00466DFC">
            <w:pPr>
              <w:rPr>
                <w:b/>
                <w:sz w:val="20"/>
                <w:szCs w:val="20"/>
              </w:rPr>
            </w:pPr>
            <w:r w:rsidRPr="00895287">
              <w:rPr>
                <w:b/>
                <w:sz w:val="20"/>
                <w:szCs w:val="20"/>
              </w:rPr>
              <w:t xml:space="preserve">ДОХОДЫ ОТ </w:t>
            </w:r>
            <w:r>
              <w:rPr>
                <w:b/>
                <w:sz w:val="20"/>
                <w:szCs w:val="20"/>
              </w:rPr>
              <w:t>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466DFC">
            <w:pPr>
              <w:jc w:val="center"/>
              <w:rPr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000 1 1</w:t>
            </w:r>
            <w:r>
              <w:rPr>
                <w:b/>
                <w:sz w:val="20"/>
                <w:szCs w:val="20"/>
              </w:rPr>
              <w:t>4</w:t>
            </w:r>
            <w:r w:rsidRPr="00717BC1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2C1198" w:rsidRDefault="00544A78" w:rsidP="000341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2C1198" w:rsidRDefault="005B5C68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1 999 209,00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2C1198" w:rsidRDefault="000E6300" w:rsidP="006B7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357 831,00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EE39FE" w:rsidRDefault="007F6580" w:rsidP="00916E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558,7</w:t>
            </w:r>
          </w:p>
        </w:tc>
      </w:tr>
      <w:tr w:rsidR="000E6300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17BC1" w:rsidRDefault="000E6300" w:rsidP="0046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2C1198" w:rsidRDefault="000E6300" w:rsidP="00466DFC">
            <w:pPr>
              <w:jc w:val="center"/>
              <w:rPr>
                <w:sz w:val="20"/>
                <w:szCs w:val="20"/>
              </w:rPr>
            </w:pPr>
            <w:r w:rsidRPr="002C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00 1 14</w:t>
            </w:r>
            <w:r w:rsidRPr="002C1198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6</w:t>
            </w:r>
            <w:r w:rsidRPr="002C1198">
              <w:rPr>
                <w:sz w:val="20"/>
                <w:szCs w:val="20"/>
              </w:rPr>
              <w:t xml:space="preserve">000 00 0000 </w:t>
            </w:r>
            <w:r>
              <w:rPr>
                <w:sz w:val="20"/>
                <w:szCs w:val="20"/>
              </w:rPr>
              <w:t>43</w:t>
            </w:r>
            <w:r w:rsidRPr="002C119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Default="00544A7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Default="005B5C68" w:rsidP="00657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1 999 209,00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Default="000E6300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357 831,00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7F658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558,7</w:t>
            </w:r>
          </w:p>
        </w:tc>
      </w:tr>
      <w:tr w:rsidR="000E6300" w:rsidRPr="00717BC1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17BC1" w:rsidRDefault="000E6300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544A7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717BC1" w:rsidRDefault="005B5C6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7F658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E6300" w:rsidRPr="00717BC1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17BC1" w:rsidRDefault="000E6300" w:rsidP="00750F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Административные штрафы, установленные Кодексом Российской 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DC3669" w:rsidRDefault="000E6300" w:rsidP="00D224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000 1 16 0</w:t>
            </w:r>
            <w:r w:rsidR="00D2244A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000 0</w:t>
            </w:r>
            <w:r w:rsidR="00D2244A">
              <w:rPr>
                <w:bCs/>
                <w:sz w:val="20"/>
                <w:szCs w:val="20"/>
              </w:rPr>
              <w:t>2</w:t>
            </w:r>
            <w:r w:rsidRPr="00DC3669">
              <w:rPr>
                <w:bCs/>
                <w:sz w:val="20"/>
                <w:szCs w:val="20"/>
              </w:rPr>
              <w:t xml:space="preserve">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Default="00544A7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Default="005B5C6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Default="000E630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Default="000E6300" w:rsidP="006B77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Default="007F6580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E6300" w:rsidRPr="00717BC1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17BC1" w:rsidRDefault="000E6300" w:rsidP="00E308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DC3669" w:rsidRDefault="000E6300" w:rsidP="00E308E3">
            <w:pPr>
              <w:jc w:val="center"/>
              <w:rPr>
                <w:bCs/>
                <w:sz w:val="20"/>
                <w:szCs w:val="20"/>
              </w:rPr>
            </w:pPr>
            <w:r w:rsidRPr="00DC3669">
              <w:rPr>
                <w:bCs/>
                <w:sz w:val="20"/>
                <w:szCs w:val="20"/>
              </w:rPr>
              <w:t>000 1 16 10000 00 0000 140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5B5C6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717BC1" w:rsidRDefault="005B5C6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Default="000E630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6B77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4E4A09" w:rsidRDefault="007F6580" w:rsidP="00916E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E6300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17BC1" w:rsidRDefault="000E6300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6B7778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96 751 795,00</w:t>
            </w:r>
            <w:r w:rsidR="00943393">
              <w:rPr>
                <w:b/>
                <w:bCs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717BC1" w:rsidRDefault="00D2244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34 343 250,00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C4040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19 868 299,00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7F658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172,8</w:t>
            </w:r>
          </w:p>
        </w:tc>
      </w:tr>
      <w:tr w:rsidR="000E6300" w:rsidRPr="00717BC1" w:rsidTr="00462292">
        <w:trPr>
          <w:trHeight w:val="64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17BC1" w:rsidRDefault="000E6300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4E4A09" w:rsidRDefault="006B7778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95 332 800,00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4E4A09" w:rsidRDefault="00D2244A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33 618 250,00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4E4A09" w:rsidRDefault="00C4040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4E4A09" w:rsidRDefault="000E6300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19 261 100,00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4E4A09" w:rsidRDefault="007F658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174,5</w:t>
            </w:r>
          </w:p>
        </w:tc>
      </w:tr>
      <w:tr w:rsidR="000E6300" w:rsidRPr="00717BC1" w:rsidTr="00462292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17BC1" w:rsidRDefault="000E6300" w:rsidP="004C3E83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3A5A1A" w:rsidRDefault="000E6300" w:rsidP="009473BD">
            <w:pPr>
              <w:jc w:val="center"/>
              <w:rPr>
                <w:sz w:val="20"/>
                <w:szCs w:val="20"/>
              </w:rPr>
            </w:pPr>
            <w:r w:rsidRPr="003A5A1A">
              <w:rPr>
                <w:sz w:val="20"/>
                <w:szCs w:val="20"/>
              </w:rPr>
              <w:t>000 2 02 01000 00 0000 150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6B777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44 217 000,00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717BC1" w:rsidRDefault="00D2244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22 055 000,00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17 127 100,00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7F658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</w:t>
            </w:r>
          </w:p>
        </w:tc>
      </w:tr>
      <w:tr w:rsidR="000E6300" w:rsidRPr="00717BC1" w:rsidTr="00462292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717BC1" w:rsidRDefault="000E6300" w:rsidP="004C3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35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000 2 02 20000 00 0000150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Default="006B777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43 766 800,00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Default="00D2244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Default="000E6300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7F658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6300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Default="000E6300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0E6300" w:rsidP="00392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000 2 02 40000 00 0000150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Default="006B777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7 349 000,00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Default="00D2244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2 963 250,00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Default="000E6300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2 134 000,00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717BC1" w:rsidRDefault="007F658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</w:t>
            </w:r>
          </w:p>
        </w:tc>
      </w:tr>
      <w:tr w:rsidR="000E6300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Pr="00F36A44" w:rsidRDefault="000E6300" w:rsidP="00354AD8">
            <w:pPr>
              <w:rPr>
                <w:b/>
                <w:sz w:val="20"/>
                <w:szCs w:val="20"/>
              </w:rPr>
            </w:pPr>
            <w:r w:rsidRPr="00F36A44">
              <w:rPr>
                <w:b/>
                <w:sz w:val="20"/>
                <w:szCs w:val="20"/>
              </w:rPr>
              <w:t>БЕЗВОЗМЕЗДНЫЕ ПОСТУПЛЕНИЯ</w:t>
            </w:r>
            <w:r>
              <w:rPr>
                <w:b/>
                <w:sz w:val="20"/>
                <w:szCs w:val="20"/>
              </w:rPr>
              <w:t xml:space="preserve"> ОТ НЕГОСУДАРСТВЕННЫХ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F36A44" w:rsidRDefault="000E6300" w:rsidP="00C05F28">
            <w:pPr>
              <w:jc w:val="center"/>
              <w:rPr>
                <w:b/>
                <w:bCs/>
                <w:sz w:val="20"/>
                <w:szCs w:val="20"/>
              </w:rPr>
            </w:pPr>
            <w:r w:rsidRPr="00F36A44">
              <w:rPr>
                <w:b/>
                <w:bCs/>
                <w:sz w:val="20"/>
                <w:szCs w:val="20"/>
              </w:rPr>
              <w:t>000 2 0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36A44"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Pr="00F36A44" w:rsidRDefault="006B7778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Pr="00F36A44" w:rsidRDefault="00D2244A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F36A44" w:rsidRDefault="000E6300" w:rsidP="006B7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Default="007F658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130,6</w:t>
            </w:r>
          </w:p>
        </w:tc>
      </w:tr>
      <w:tr w:rsidR="000E6300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300" w:rsidRDefault="000E6300" w:rsidP="00C0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негосударственных организаций в бюджеты сельских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Pr="00D4500E" w:rsidRDefault="000E6300" w:rsidP="00D450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000 2 04</w:t>
            </w:r>
            <w:r w:rsidRPr="00D4500E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5</w:t>
            </w:r>
            <w:r w:rsidRPr="00D4500E">
              <w:rPr>
                <w:bCs/>
                <w:sz w:val="20"/>
                <w:szCs w:val="20"/>
              </w:rPr>
              <w:t xml:space="preserve">000 </w:t>
            </w:r>
            <w:r>
              <w:rPr>
                <w:bCs/>
                <w:sz w:val="20"/>
                <w:szCs w:val="20"/>
              </w:rPr>
              <w:t>1</w:t>
            </w:r>
            <w:r w:rsidRPr="00D4500E">
              <w:rPr>
                <w:bCs/>
                <w:sz w:val="20"/>
                <w:szCs w:val="20"/>
              </w:rPr>
              <w:t xml:space="preserve">0 0000 </w:t>
            </w:r>
            <w:r>
              <w:rPr>
                <w:bCs/>
                <w:sz w:val="20"/>
                <w:szCs w:val="20"/>
              </w:rPr>
              <w:t>15</w:t>
            </w:r>
            <w:r w:rsidRPr="00D450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300" w:rsidRDefault="006B777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E6300" w:rsidRDefault="00D2244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Default="000E6300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300" w:rsidRDefault="007F658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130,6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F36A44" w:rsidRDefault="006B7778" w:rsidP="006B77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</w:t>
            </w:r>
            <w:r w:rsidRPr="00F36A44">
              <w:rPr>
                <w:b/>
                <w:sz w:val="20"/>
                <w:szCs w:val="20"/>
              </w:rPr>
              <w:t>БЕЗВОЗМЕЗДНЫЕ ПОСТУПЛЕНИЯ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F36A44" w:rsidRDefault="006B7778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 w:rsidRPr="00F36A44">
              <w:rPr>
                <w:b/>
                <w:bCs/>
                <w:sz w:val="20"/>
                <w:szCs w:val="20"/>
              </w:rPr>
              <w:t>000 2 0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F36A44"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6B7778" w:rsidRDefault="006B7778" w:rsidP="00462292">
            <w:pPr>
              <w:jc w:val="center"/>
              <w:rPr>
                <w:b/>
                <w:sz w:val="20"/>
                <w:szCs w:val="20"/>
              </w:rPr>
            </w:pPr>
            <w:r w:rsidRPr="006B7778">
              <w:rPr>
                <w:b/>
                <w:sz w:val="20"/>
                <w:szCs w:val="20"/>
              </w:rPr>
              <w:t>118 995,00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902378" w:rsidRDefault="00D2244A" w:rsidP="00462292">
            <w:pPr>
              <w:jc w:val="center"/>
              <w:rPr>
                <w:b/>
                <w:sz w:val="20"/>
                <w:szCs w:val="20"/>
              </w:rPr>
            </w:pPr>
            <w:r w:rsidRPr="0090237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902378" w:rsidRDefault="00C40407" w:rsidP="00462292">
            <w:pPr>
              <w:jc w:val="center"/>
              <w:rPr>
                <w:b/>
                <w:sz w:val="20"/>
                <w:szCs w:val="20"/>
              </w:rPr>
            </w:pPr>
            <w:r w:rsidRPr="009023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902378" w:rsidRDefault="00902378" w:rsidP="006B7778">
            <w:pPr>
              <w:jc w:val="center"/>
              <w:rPr>
                <w:b/>
                <w:sz w:val="20"/>
                <w:szCs w:val="20"/>
              </w:rPr>
            </w:pPr>
            <w:r w:rsidRPr="0090237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902378" w:rsidRDefault="00902378" w:rsidP="00462292">
            <w:pPr>
              <w:jc w:val="center"/>
              <w:rPr>
                <w:b/>
                <w:sz w:val="20"/>
                <w:szCs w:val="20"/>
              </w:rPr>
            </w:pPr>
            <w:r w:rsidRPr="00902378">
              <w:rPr>
                <w:b/>
                <w:sz w:val="20"/>
                <w:szCs w:val="20"/>
              </w:rPr>
              <w:t>-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Default="006B7778" w:rsidP="006B7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D4500E" w:rsidRDefault="006B7778" w:rsidP="006B77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000 2 07</w:t>
            </w:r>
            <w:r w:rsidRPr="00D4500E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5</w:t>
            </w:r>
            <w:r w:rsidRPr="00D4500E">
              <w:rPr>
                <w:bCs/>
                <w:sz w:val="20"/>
                <w:szCs w:val="20"/>
              </w:rPr>
              <w:t xml:space="preserve">000 </w:t>
            </w:r>
            <w:r>
              <w:rPr>
                <w:bCs/>
                <w:sz w:val="20"/>
                <w:szCs w:val="20"/>
              </w:rPr>
              <w:t>1</w:t>
            </w:r>
            <w:r w:rsidRPr="00D4500E">
              <w:rPr>
                <w:bCs/>
                <w:sz w:val="20"/>
                <w:szCs w:val="20"/>
              </w:rPr>
              <w:t xml:space="preserve">0 0000 </w:t>
            </w:r>
            <w:r>
              <w:rPr>
                <w:bCs/>
                <w:sz w:val="20"/>
                <w:szCs w:val="20"/>
              </w:rPr>
              <w:t>15</w:t>
            </w:r>
            <w:r w:rsidRPr="00D450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Default="006B777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118 995,00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Default="00D2244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Default="00902378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Default="0090237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50FB5" w:rsidRDefault="006B7778" w:rsidP="00354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ДОХОДЫ БЮДЖЕТОВ БЮДЖЕТНОЙ СИСТЕМЫ РОССИЙСКОЙ ФЕДЕРАЦИИ ОТ </w:t>
            </w:r>
            <w:r w:rsidRPr="00750FB5">
              <w:rPr>
                <w:b/>
                <w:sz w:val="20"/>
                <w:szCs w:val="20"/>
              </w:rPr>
              <w:t>ВОЗВРАТ</w:t>
            </w:r>
            <w:r>
              <w:rPr>
                <w:b/>
                <w:sz w:val="20"/>
                <w:szCs w:val="20"/>
              </w:rPr>
              <w:t>А</w:t>
            </w:r>
            <w:r w:rsidRPr="00750FB5">
              <w:rPr>
                <w:b/>
                <w:sz w:val="20"/>
                <w:szCs w:val="20"/>
              </w:rPr>
              <w:t xml:space="preserve"> ОСТАТКОВ СУБСИДИЙ СУБВЕНЦИЙ И ИНЫХ МЕЖБЮДЖЕТНЫХ ТРАСФЕРТОВ, ИМЕЮЩИХ ЦЕЛЕВОЕ НАЗНАЧЕНИЕ</w:t>
            </w:r>
            <w:r>
              <w:rPr>
                <w:b/>
                <w:sz w:val="20"/>
                <w:szCs w:val="20"/>
              </w:rPr>
              <w:t>,</w:t>
            </w:r>
            <w:r w:rsidRPr="00750FB5">
              <w:rPr>
                <w:b/>
                <w:sz w:val="20"/>
                <w:szCs w:val="20"/>
              </w:rPr>
              <w:t xml:space="preserve">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F36A44" w:rsidRDefault="006B7778" w:rsidP="00C05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000 2 18</w:t>
            </w:r>
            <w:r w:rsidRPr="00F36A44"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50FB5" w:rsidRDefault="006B7778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50FB5" w:rsidRDefault="00902378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Default="006B777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50FB5" w:rsidRDefault="006B7778" w:rsidP="006B7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52 199,00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Default="006B777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Default="006B7778" w:rsidP="00C0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бюджетов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B37BBA" w:rsidRDefault="006B7778" w:rsidP="00C05F28">
            <w:pPr>
              <w:jc w:val="center"/>
              <w:rPr>
                <w:bCs/>
                <w:sz w:val="20"/>
                <w:szCs w:val="20"/>
              </w:rPr>
            </w:pPr>
            <w:r w:rsidRPr="00B37BBA">
              <w:rPr>
                <w:bCs/>
                <w:sz w:val="20"/>
                <w:szCs w:val="20"/>
              </w:rPr>
              <w:t>000 2 1</w:t>
            </w:r>
            <w:r>
              <w:rPr>
                <w:bCs/>
                <w:sz w:val="20"/>
                <w:szCs w:val="20"/>
              </w:rPr>
              <w:t>8 00000 0</w:t>
            </w:r>
            <w:r w:rsidRPr="00B37BBA">
              <w:rPr>
                <w:bCs/>
                <w:sz w:val="20"/>
                <w:szCs w:val="20"/>
              </w:rPr>
              <w:t>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Default="006B777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Default="0090237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Default="006B777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Default="006B7778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52 199,00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Default="006B777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Расходы бюджета-ВСЕГО</w:t>
            </w:r>
          </w:p>
          <w:p w:rsidR="006B7778" w:rsidRPr="00717BC1" w:rsidRDefault="006B7778" w:rsidP="00354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153 975 746,52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63 586 527,92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C4040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40 017 224,15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7F658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158,9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2D0F5F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14 517 029,00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7 305 368,60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C4040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7 876 366,82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7F658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92,7</w:t>
            </w:r>
          </w:p>
        </w:tc>
      </w:tr>
      <w:tr w:rsidR="006B7778" w:rsidRPr="00717BC1" w:rsidTr="00462292">
        <w:trPr>
          <w:trHeight w:val="47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000 0102 0000000000 000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654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838 611,22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657 024,03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7F658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</w:p>
        </w:tc>
      </w:tr>
      <w:tr w:rsidR="006B7778" w:rsidRPr="00717BC1" w:rsidTr="00462292">
        <w:trPr>
          <w:trHeight w:val="69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54 203,00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7F658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6B7778" w:rsidRPr="00717BC1" w:rsidTr="00462292">
        <w:trPr>
          <w:trHeight w:val="12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000 0104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12 162 829,00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6 109 756,85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6 095 421,22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7F658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6B7778" w:rsidRPr="00717BC1" w:rsidTr="00462292">
        <w:trPr>
          <w:trHeight w:val="27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000 0106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272 536,17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282 245,57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7F658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000 0111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C4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</w:t>
            </w:r>
            <w:r w:rsidR="00C40407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7F658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000 0113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74 200,00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787 473,00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7F658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6B7778" w:rsidRPr="00717BC1" w:rsidTr="00462292">
        <w:trPr>
          <w:trHeight w:val="172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2 472 500,00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1 175 122,16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8819E5" w:rsidRDefault="00C4040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1 214 427,93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7F658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96,8</w:t>
            </w:r>
          </w:p>
        </w:tc>
      </w:tr>
      <w:tr w:rsidR="006B7778" w:rsidRPr="00717BC1" w:rsidTr="00462292">
        <w:trPr>
          <w:trHeight w:val="21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000 0310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1 175 122,16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1 214 427,93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7F658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6B7778" w:rsidRPr="00717BC1" w:rsidTr="00462292">
        <w:trPr>
          <w:trHeight w:val="38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000 0314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90237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F04C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51 919 351,00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29 995 691,20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C4040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14 587 060,67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7F658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205,6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000 0409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39234C" w:rsidRDefault="00251D8A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51 459 351,00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39234C" w:rsidRDefault="00251D8A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29 965 691,20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39234C" w:rsidRDefault="006B7778" w:rsidP="006B77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14 396 860,67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317ED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205,6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35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000 0412</w:t>
            </w:r>
            <w:r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39234C" w:rsidRDefault="00251D8A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39234C" w:rsidRDefault="00251D8A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39234C" w:rsidRDefault="006B7778" w:rsidP="006B77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190 200,00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Default="00317ED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44 377 766,52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12 075 718,56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C4040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6 822 873,23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317ED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177,0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144 912,07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C4040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203 543,73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317ED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000 0502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30 600 855,80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3 624 784,83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90237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574 226,74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317ED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631,2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13 184 910,72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8 306 021,66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90237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6 045 102,76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317ED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137,4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0E7269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40 189 100,00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12 845 093,90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90237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9 440 895,50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317ED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136,1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000 0801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D4500E" w:rsidRDefault="00251D8A" w:rsidP="00E308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40 189 100,00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D4500E" w:rsidRDefault="00251D8A" w:rsidP="00E308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12 845 093,90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90237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D4500E" w:rsidRDefault="006B7778" w:rsidP="006B77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9 440 895,50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317ED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189 533,50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90237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75 600,00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317ED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250,7</w:t>
            </w:r>
          </w:p>
        </w:tc>
      </w:tr>
      <w:tr w:rsidR="006B777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778" w:rsidRPr="00717BC1" w:rsidRDefault="006B7778" w:rsidP="00354AD8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189 533,50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90237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75 600,00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943ED6" w:rsidRDefault="00317ED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250,7</w:t>
            </w:r>
          </w:p>
        </w:tc>
      </w:tr>
      <w:tr w:rsidR="006B7778" w:rsidRPr="00770D0E" w:rsidTr="00462292">
        <w:trPr>
          <w:trHeight w:val="24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2D53B4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Дефицит (-),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 xml:space="preserve"> профицит (+)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778" w:rsidRPr="00717BC1" w:rsidRDefault="006B777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-4 787 951,52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B7778" w:rsidRPr="00717BC1" w:rsidRDefault="00251D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-3 332 554,45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6B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+556 173,54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778" w:rsidRPr="00717BC1" w:rsidRDefault="006B7778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40BB8" w:rsidRDefault="00040BB8" w:rsidP="003E3AD4">
      <w:pPr>
        <w:rPr>
          <w:sz w:val="20"/>
          <w:szCs w:val="20"/>
        </w:rPr>
      </w:pPr>
    </w:p>
    <w:sectPr w:rsidR="00040BB8" w:rsidSect="00462292">
      <w:pgSz w:w="16838" w:h="11906" w:orient="landscape"/>
      <w:pgMar w:top="1134" w:right="567" w:bottom="851" w:left="1134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156" w:rsidRDefault="00A55156">
      <w:r>
        <w:separator/>
      </w:r>
    </w:p>
  </w:endnote>
  <w:endnote w:type="continuationSeparator" w:id="0">
    <w:p w:rsidR="00A55156" w:rsidRDefault="00A5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156" w:rsidRDefault="00A55156">
      <w:r>
        <w:separator/>
      </w:r>
    </w:p>
  </w:footnote>
  <w:footnote w:type="continuationSeparator" w:id="0">
    <w:p w:rsidR="00A55156" w:rsidRDefault="00A55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737" w:rsidRPr="00217E6E" w:rsidRDefault="00E54737" w:rsidP="00427242">
    <w:pPr>
      <w:pStyle w:val="ac"/>
      <w:framePr w:wrap="auto" w:vAnchor="text" w:hAnchor="margin" w:xAlign="center" w:y="1"/>
      <w:rPr>
        <w:rStyle w:val="ae"/>
        <w:sz w:val="20"/>
        <w:szCs w:val="20"/>
      </w:rPr>
    </w:pPr>
    <w:r w:rsidRPr="00217E6E">
      <w:rPr>
        <w:rStyle w:val="ae"/>
        <w:sz w:val="20"/>
        <w:szCs w:val="20"/>
      </w:rPr>
      <w:fldChar w:fldCharType="begin"/>
    </w:r>
    <w:r w:rsidRPr="00217E6E">
      <w:rPr>
        <w:rStyle w:val="ae"/>
        <w:sz w:val="20"/>
        <w:szCs w:val="20"/>
      </w:rPr>
      <w:instrText xml:space="preserve">PAGE  </w:instrText>
    </w:r>
    <w:r w:rsidRPr="00217E6E">
      <w:rPr>
        <w:rStyle w:val="ae"/>
        <w:sz w:val="20"/>
        <w:szCs w:val="20"/>
      </w:rPr>
      <w:fldChar w:fldCharType="separate"/>
    </w:r>
    <w:r w:rsidR="00752BED">
      <w:rPr>
        <w:rStyle w:val="ae"/>
        <w:noProof/>
        <w:sz w:val="20"/>
        <w:szCs w:val="20"/>
      </w:rPr>
      <w:t>5</w:t>
    </w:r>
    <w:r w:rsidRPr="00217E6E">
      <w:rPr>
        <w:rStyle w:val="ae"/>
        <w:sz w:val="20"/>
        <w:szCs w:val="20"/>
      </w:rPr>
      <w:fldChar w:fldCharType="end"/>
    </w:r>
  </w:p>
  <w:p w:rsidR="00E54737" w:rsidRDefault="00E5473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0C79A8"/>
    <w:lvl w:ilvl="0">
      <w:numFmt w:val="bullet"/>
      <w:lvlText w:val="*"/>
      <w:lvlJc w:val="left"/>
    </w:lvl>
  </w:abstractNum>
  <w:abstractNum w:abstractNumId="1">
    <w:nsid w:val="015E18C4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B5F1B"/>
    <w:multiLevelType w:val="hybridMultilevel"/>
    <w:tmpl w:val="B3C405AC"/>
    <w:lvl w:ilvl="0" w:tplc="04190001">
      <w:start w:val="1"/>
      <w:numFmt w:val="bullet"/>
      <w:lvlText w:val=""/>
      <w:lvlJc w:val="left"/>
      <w:pPr>
        <w:tabs>
          <w:tab w:val="num" w:pos="1357"/>
        </w:tabs>
        <w:ind w:left="1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7"/>
        </w:tabs>
        <w:ind w:left="207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7"/>
        </w:tabs>
        <w:ind w:left="2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7"/>
        </w:tabs>
        <w:ind w:left="3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7"/>
        </w:tabs>
        <w:ind w:left="423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7"/>
        </w:tabs>
        <w:ind w:left="4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7"/>
        </w:tabs>
        <w:ind w:left="5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</w:abstractNum>
  <w:abstractNum w:abstractNumId="3">
    <w:nsid w:val="05E424D5"/>
    <w:multiLevelType w:val="hybridMultilevel"/>
    <w:tmpl w:val="7FAAFD08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4">
    <w:nsid w:val="0A476DCC"/>
    <w:multiLevelType w:val="hybridMultilevel"/>
    <w:tmpl w:val="8312C9A0"/>
    <w:lvl w:ilvl="0" w:tplc="73306B66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F32A7"/>
    <w:multiLevelType w:val="hybridMultilevel"/>
    <w:tmpl w:val="3A7C2E5E"/>
    <w:lvl w:ilvl="0" w:tplc="C02E3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3067A9"/>
    <w:multiLevelType w:val="hybridMultilevel"/>
    <w:tmpl w:val="F692CF46"/>
    <w:lvl w:ilvl="0" w:tplc="FDBE24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17CAE"/>
    <w:multiLevelType w:val="hybridMultilevel"/>
    <w:tmpl w:val="7A1882D2"/>
    <w:lvl w:ilvl="0" w:tplc="DA5CBA2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C7795F"/>
    <w:multiLevelType w:val="hybridMultilevel"/>
    <w:tmpl w:val="E2FC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1160E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120EE"/>
    <w:multiLevelType w:val="hybridMultilevel"/>
    <w:tmpl w:val="1714B110"/>
    <w:lvl w:ilvl="0" w:tplc="34AAA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91588"/>
    <w:multiLevelType w:val="hybridMultilevel"/>
    <w:tmpl w:val="8ECA4176"/>
    <w:lvl w:ilvl="0" w:tplc="16E4A362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EB4783E"/>
    <w:multiLevelType w:val="hybridMultilevel"/>
    <w:tmpl w:val="50428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61F5A"/>
    <w:multiLevelType w:val="hybridMultilevel"/>
    <w:tmpl w:val="D4E4E53E"/>
    <w:lvl w:ilvl="0" w:tplc="9FF61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12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1" w:dllVersion="512" w:checkStyle="1"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0"/>
    <w:rsid w:val="000004EF"/>
    <w:rsid w:val="00000876"/>
    <w:rsid w:val="000021A4"/>
    <w:rsid w:val="000025DC"/>
    <w:rsid w:val="000030AA"/>
    <w:rsid w:val="00003D50"/>
    <w:rsid w:val="00005246"/>
    <w:rsid w:val="00005C27"/>
    <w:rsid w:val="00006981"/>
    <w:rsid w:val="0000716C"/>
    <w:rsid w:val="00007566"/>
    <w:rsid w:val="00007F24"/>
    <w:rsid w:val="000103F0"/>
    <w:rsid w:val="00010C35"/>
    <w:rsid w:val="000119FD"/>
    <w:rsid w:val="000130E3"/>
    <w:rsid w:val="000135A9"/>
    <w:rsid w:val="00013701"/>
    <w:rsid w:val="000138CD"/>
    <w:rsid w:val="00014BB9"/>
    <w:rsid w:val="00015162"/>
    <w:rsid w:val="0001567A"/>
    <w:rsid w:val="000162FA"/>
    <w:rsid w:val="000169E0"/>
    <w:rsid w:val="00016C0F"/>
    <w:rsid w:val="00017028"/>
    <w:rsid w:val="00017582"/>
    <w:rsid w:val="0001764C"/>
    <w:rsid w:val="0002194B"/>
    <w:rsid w:val="00021F12"/>
    <w:rsid w:val="00022E1A"/>
    <w:rsid w:val="0002312F"/>
    <w:rsid w:val="0002345D"/>
    <w:rsid w:val="00023A67"/>
    <w:rsid w:val="00023A7D"/>
    <w:rsid w:val="00024F99"/>
    <w:rsid w:val="000258AE"/>
    <w:rsid w:val="00025E3B"/>
    <w:rsid w:val="000268AD"/>
    <w:rsid w:val="00027060"/>
    <w:rsid w:val="00027362"/>
    <w:rsid w:val="000305FA"/>
    <w:rsid w:val="00031C1A"/>
    <w:rsid w:val="000326D4"/>
    <w:rsid w:val="00032965"/>
    <w:rsid w:val="00034122"/>
    <w:rsid w:val="00035151"/>
    <w:rsid w:val="000371A0"/>
    <w:rsid w:val="00037429"/>
    <w:rsid w:val="00040BB8"/>
    <w:rsid w:val="000410B9"/>
    <w:rsid w:val="000425E2"/>
    <w:rsid w:val="00043024"/>
    <w:rsid w:val="000439C6"/>
    <w:rsid w:val="000453B9"/>
    <w:rsid w:val="0004541F"/>
    <w:rsid w:val="000467F6"/>
    <w:rsid w:val="00046DB4"/>
    <w:rsid w:val="00046FBD"/>
    <w:rsid w:val="0005059E"/>
    <w:rsid w:val="00050A35"/>
    <w:rsid w:val="00051D7E"/>
    <w:rsid w:val="00052CAD"/>
    <w:rsid w:val="00054B22"/>
    <w:rsid w:val="00055CD2"/>
    <w:rsid w:val="00056549"/>
    <w:rsid w:val="000565F5"/>
    <w:rsid w:val="0005699A"/>
    <w:rsid w:val="00060FE7"/>
    <w:rsid w:val="00061146"/>
    <w:rsid w:val="00064006"/>
    <w:rsid w:val="000646B6"/>
    <w:rsid w:val="000656B5"/>
    <w:rsid w:val="00065C0E"/>
    <w:rsid w:val="000666EA"/>
    <w:rsid w:val="00066EFE"/>
    <w:rsid w:val="000677C1"/>
    <w:rsid w:val="00070B22"/>
    <w:rsid w:val="00071161"/>
    <w:rsid w:val="000713E2"/>
    <w:rsid w:val="00072127"/>
    <w:rsid w:val="00073C83"/>
    <w:rsid w:val="00076260"/>
    <w:rsid w:val="0007643B"/>
    <w:rsid w:val="00076680"/>
    <w:rsid w:val="00080ADF"/>
    <w:rsid w:val="00082138"/>
    <w:rsid w:val="00083985"/>
    <w:rsid w:val="00083DC4"/>
    <w:rsid w:val="00083F67"/>
    <w:rsid w:val="00086DFC"/>
    <w:rsid w:val="00086E36"/>
    <w:rsid w:val="00087AAE"/>
    <w:rsid w:val="00087DD9"/>
    <w:rsid w:val="00090327"/>
    <w:rsid w:val="00090D08"/>
    <w:rsid w:val="0009343A"/>
    <w:rsid w:val="00095047"/>
    <w:rsid w:val="000966F5"/>
    <w:rsid w:val="00096B66"/>
    <w:rsid w:val="00096C83"/>
    <w:rsid w:val="0009726F"/>
    <w:rsid w:val="00097565"/>
    <w:rsid w:val="000A01F6"/>
    <w:rsid w:val="000A26FB"/>
    <w:rsid w:val="000A3A44"/>
    <w:rsid w:val="000A48F7"/>
    <w:rsid w:val="000A543C"/>
    <w:rsid w:val="000A64B3"/>
    <w:rsid w:val="000A7042"/>
    <w:rsid w:val="000A72FB"/>
    <w:rsid w:val="000A7336"/>
    <w:rsid w:val="000A7A10"/>
    <w:rsid w:val="000A7B16"/>
    <w:rsid w:val="000B0CA7"/>
    <w:rsid w:val="000B1E4B"/>
    <w:rsid w:val="000B1F08"/>
    <w:rsid w:val="000B329F"/>
    <w:rsid w:val="000B4348"/>
    <w:rsid w:val="000B4A17"/>
    <w:rsid w:val="000B4CA1"/>
    <w:rsid w:val="000B5504"/>
    <w:rsid w:val="000B6711"/>
    <w:rsid w:val="000B6DF5"/>
    <w:rsid w:val="000B7338"/>
    <w:rsid w:val="000B7EDF"/>
    <w:rsid w:val="000C042A"/>
    <w:rsid w:val="000C045A"/>
    <w:rsid w:val="000C08FC"/>
    <w:rsid w:val="000C0AE3"/>
    <w:rsid w:val="000C1A1C"/>
    <w:rsid w:val="000C463A"/>
    <w:rsid w:val="000C46C8"/>
    <w:rsid w:val="000C53BB"/>
    <w:rsid w:val="000C612E"/>
    <w:rsid w:val="000C69C8"/>
    <w:rsid w:val="000C6C12"/>
    <w:rsid w:val="000D0238"/>
    <w:rsid w:val="000D110F"/>
    <w:rsid w:val="000D2726"/>
    <w:rsid w:val="000D36A3"/>
    <w:rsid w:val="000D51C1"/>
    <w:rsid w:val="000D51C5"/>
    <w:rsid w:val="000D5DF2"/>
    <w:rsid w:val="000D6202"/>
    <w:rsid w:val="000D6685"/>
    <w:rsid w:val="000D675E"/>
    <w:rsid w:val="000D6EBE"/>
    <w:rsid w:val="000D725C"/>
    <w:rsid w:val="000D7F9D"/>
    <w:rsid w:val="000E1207"/>
    <w:rsid w:val="000E1D8B"/>
    <w:rsid w:val="000E2C0B"/>
    <w:rsid w:val="000E35C0"/>
    <w:rsid w:val="000E4547"/>
    <w:rsid w:val="000E47CD"/>
    <w:rsid w:val="000E5255"/>
    <w:rsid w:val="000E6300"/>
    <w:rsid w:val="000E7269"/>
    <w:rsid w:val="000E777E"/>
    <w:rsid w:val="000F23ED"/>
    <w:rsid w:val="000F26F7"/>
    <w:rsid w:val="000F2A6E"/>
    <w:rsid w:val="000F2D61"/>
    <w:rsid w:val="000F6439"/>
    <w:rsid w:val="000F7F49"/>
    <w:rsid w:val="001001AB"/>
    <w:rsid w:val="00100257"/>
    <w:rsid w:val="001005BF"/>
    <w:rsid w:val="001007E7"/>
    <w:rsid w:val="001019EC"/>
    <w:rsid w:val="00101F21"/>
    <w:rsid w:val="00102C61"/>
    <w:rsid w:val="00102EB5"/>
    <w:rsid w:val="00103219"/>
    <w:rsid w:val="00104F17"/>
    <w:rsid w:val="001052C5"/>
    <w:rsid w:val="001057E5"/>
    <w:rsid w:val="00105B71"/>
    <w:rsid w:val="00105C85"/>
    <w:rsid w:val="001060D9"/>
    <w:rsid w:val="0010775A"/>
    <w:rsid w:val="00107E01"/>
    <w:rsid w:val="0011049D"/>
    <w:rsid w:val="0011138D"/>
    <w:rsid w:val="00112E74"/>
    <w:rsid w:val="001133C4"/>
    <w:rsid w:val="00113FD4"/>
    <w:rsid w:val="0011402D"/>
    <w:rsid w:val="001163A9"/>
    <w:rsid w:val="00116D89"/>
    <w:rsid w:val="0011728D"/>
    <w:rsid w:val="001173A6"/>
    <w:rsid w:val="00120140"/>
    <w:rsid w:val="00120231"/>
    <w:rsid w:val="001231FE"/>
    <w:rsid w:val="001233DC"/>
    <w:rsid w:val="001234B5"/>
    <w:rsid w:val="00123E56"/>
    <w:rsid w:val="001241F8"/>
    <w:rsid w:val="0012420D"/>
    <w:rsid w:val="00125E0E"/>
    <w:rsid w:val="001267EF"/>
    <w:rsid w:val="001268A2"/>
    <w:rsid w:val="00126982"/>
    <w:rsid w:val="001269A4"/>
    <w:rsid w:val="00126CCF"/>
    <w:rsid w:val="00126D1D"/>
    <w:rsid w:val="00127E9F"/>
    <w:rsid w:val="00132381"/>
    <w:rsid w:val="001325C6"/>
    <w:rsid w:val="00132B18"/>
    <w:rsid w:val="00133988"/>
    <w:rsid w:val="001351BA"/>
    <w:rsid w:val="001355AC"/>
    <w:rsid w:val="00135B1C"/>
    <w:rsid w:val="00140A04"/>
    <w:rsid w:val="0014173D"/>
    <w:rsid w:val="001429CA"/>
    <w:rsid w:val="00142CDE"/>
    <w:rsid w:val="001431BF"/>
    <w:rsid w:val="0014680A"/>
    <w:rsid w:val="00147276"/>
    <w:rsid w:val="00147B62"/>
    <w:rsid w:val="00150FD7"/>
    <w:rsid w:val="00150FFC"/>
    <w:rsid w:val="001516B8"/>
    <w:rsid w:val="0015182F"/>
    <w:rsid w:val="001552A5"/>
    <w:rsid w:val="001561B9"/>
    <w:rsid w:val="0015624A"/>
    <w:rsid w:val="001563BA"/>
    <w:rsid w:val="0015793F"/>
    <w:rsid w:val="00157978"/>
    <w:rsid w:val="00157DEE"/>
    <w:rsid w:val="0016282A"/>
    <w:rsid w:val="00162CA0"/>
    <w:rsid w:val="00163235"/>
    <w:rsid w:val="001633DE"/>
    <w:rsid w:val="00163E80"/>
    <w:rsid w:val="00163FF5"/>
    <w:rsid w:val="00164BBC"/>
    <w:rsid w:val="00164E36"/>
    <w:rsid w:val="00165A5A"/>
    <w:rsid w:val="00170125"/>
    <w:rsid w:val="0017024C"/>
    <w:rsid w:val="0017097D"/>
    <w:rsid w:val="001709C2"/>
    <w:rsid w:val="00170F92"/>
    <w:rsid w:val="0017140F"/>
    <w:rsid w:val="00172F15"/>
    <w:rsid w:val="001744BD"/>
    <w:rsid w:val="00174FF2"/>
    <w:rsid w:val="0017597E"/>
    <w:rsid w:val="0018011C"/>
    <w:rsid w:val="001802A1"/>
    <w:rsid w:val="0018121C"/>
    <w:rsid w:val="00181E11"/>
    <w:rsid w:val="00182496"/>
    <w:rsid w:val="00182B38"/>
    <w:rsid w:val="00182F11"/>
    <w:rsid w:val="001835D2"/>
    <w:rsid w:val="001847B7"/>
    <w:rsid w:val="00185B95"/>
    <w:rsid w:val="0018607A"/>
    <w:rsid w:val="0018750F"/>
    <w:rsid w:val="00187C82"/>
    <w:rsid w:val="001904F2"/>
    <w:rsid w:val="00190E3F"/>
    <w:rsid w:val="00193921"/>
    <w:rsid w:val="00194A4D"/>
    <w:rsid w:val="001960A4"/>
    <w:rsid w:val="00196482"/>
    <w:rsid w:val="0019666A"/>
    <w:rsid w:val="001966BE"/>
    <w:rsid w:val="001A0190"/>
    <w:rsid w:val="001A023A"/>
    <w:rsid w:val="001A041F"/>
    <w:rsid w:val="001A0BE9"/>
    <w:rsid w:val="001A22E8"/>
    <w:rsid w:val="001A2FC1"/>
    <w:rsid w:val="001A41C3"/>
    <w:rsid w:val="001A4EFF"/>
    <w:rsid w:val="001A6338"/>
    <w:rsid w:val="001A6A77"/>
    <w:rsid w:val="001A7093"/>
    <w:rsid w:val="001A76FC"/>
    <w:rsid w:val="001A7FBA"/>
    <w:rsid w:val="001B0606"/>
    <w:rsid w:val="001B08A4"/>
    <w:rsid w:val="001B2927"/>
    <w:rsid w:val="001B39E0"/>
    <w:rsid w:val="001B464A"/>
    <w:rsid w:val="001B48EE"/>
    <w:rsid w:val="001B58A3"/>
    <w:rsid w:val="001B6D7A"/>
    <w:rsid w:val="001C014A"/>
    <w:rsid w:val="001C03B1"/>
    <w:rsid w:val="001C0A5A"/>
    <w:rsid w:val="001C1C71"/>
    <w:rsid w:val="001C2C1C"/>
    <w:rsid w:val="001C5196"/>
    <w:rsid w:val="001C633C"/>
    <w:rsid w:val="001D048A"/>
    <w:rsid w:val="001D1382"/>
    <w:rsid w:val="001D1529"/>
    <w:rsid w:val="001D2454"/>
    <w:rsid w:val="001D314B"/>
    <w:rsid w:val="001D347D"/>
    <w:rsid w:val="001D43CD"/>
    <w:rsid w:val="001D4F95"/>
    <w:rsid w:val="001D619A"/>
    <w:rsid w:val="001D719E"/>
    <w:rsid w:val="001D77C3"/>
    <w:rsid w:val="001D7925"/>
    <w:rsid w:val="001E000D"/>
    <w:rsid w:val="001E00CB"/>
    <w:rsid w:val="001E06DE"/>
    <w:rsid w:val="001E1F86"/>
    <w:rsid w:val="001E3175"/>
    <w:rsid w:val="001E3CB8"/>
    <w:rsid w:val="001E44F4"/>
    <w:rsid w:val="001E50F6"/>
    <w:rsid w:val="001E5182"/>
    <w:rsid w:val="001E5322"/>
    <w:rsid w:val="001E5569"/>
    <w:rsid w:val="001E65E7"/>
    <w:rsid w:val="001E68A0"/>
    <w:rsid w:val="001E6936"/>
    <w:rsid w:val="001F0115"/>
    <w:rsid w:val="001F1F2C"/>
    <w:rsid w:val="001F227A"/>
    <w:rsid w:val="001F2466"/>
    <w:rsid w:val="001F2EB0"/>
    <w:rsid w:val="001F3DDD"/>
    <w:rsid w:val="001F5856"/>
    <w:rsid w:val="001F5870"/>
    <w:rsid w:val="001F6112"/>
    <w:rsid w:val="001F70D2"/>
    <w:rsid w:val="0020021A"/>
    <w:rsid w:val="002004E2"/>
    <w:rsid w:val="00201328"/>
    <w:rsid w:val="00201858"/>
    <w:rsid w:val="00205F8E"/>
    <w:rsid w:val="00206DD7"/>
    <w:rsid w:val="00207288"/>
    <w:rsid w:val="002115E9"/>
    <w:rsid w:val="00211B37"/>
    <w:rsid w:val="00213A47"/>
    <w:rsid w:val="00213BAF"/>
    <w:rsid w:val="00214021"/>
    <w:rsid w:val="00214132"/>
    <w:rsid w:val="00214300"/>
    <w:rsid w:val="00216D42"/>
    <w:rsid w:val="00216E43"/>
    <w:rsid w:val="00217D29"/>
    <w:rsid w:val="00217E6E"/>
    <w:rsid w:val="0022023D"/>
    <w:rsid w:val="00220768"/>
    <w:rsid w:val="00220FFE"/>
    <w:rsid w:val="00221939"/>
    <w:rsid w:val="002226D7"/>
    <w:rsid w:val="00222F8C"/>
    <w:rsid w:val="00223291"/>
    <w:rsid w:val="00223524"/>
    <w:rsid w:val="00224441"/>
    <w:rsid w:val="00224696"/>
    <w:rsid w:val="0022622E"/>
    <w:rsid w:val="0022645D"/>
    <w:rsid w:val="00226938"/>
    <w:rsid w:val="00227524"/>
    <w:rsid w:val="00227BF9"/>
    <w:rsid w:val="00230A00"/>
    <w:rsid w:val="00231F1A"/>
    <w:rsid w:val="00235CE4"/>
    <w:rsid w:val="00236BE3"/>
    <w:rsid w:val="0024049A"/>
    <w:rsid w:val="002409A6"/>
    <w:rsid w:val="00241932"/>
    <w:rsid w:val="00242739"/>
    <w:rsid w:val="00242999"/>
    <w:rsid w:val="00242AB3"/>
    <w:rsid w:val="002437EC"/>
    <w:rsid w:val="00244675"/>
    <w:rsid w:val="00244B78"/>
    <w:rsid w:val="0024594E"/>
    <w:rsid w:val="002467C9"/>
    <w:rsid w:val="00251ADF"/>
    <w:rsid w:val="00251B24"/>
    <w:rsid w:val="00251B67"/>
    <w:rsid w:val="00251D8A"/>
    <w:rsid w:val="00252138"/>
    <w:rsid w:val="002535FD"/>
    <w:rsid w:val="00253AF9"/>
    <w:rsid w:val="0025420C"/>
    <w:rsid w:val="00255AC3"/>
    <w:rsid w:val="00256663"/>
    <w:rsid w:val="00257264"/>
    <w:rsid w:val="0026025E"/>
    <w:rsid w:val="0026035D"/>
    <w:rsid w:val="00261202"/>
    <w:rsid w:val="00264434"/>
    <w:rsid w:val="0026477E"/>
    <w:rsid w:val="002658EE"/>
    <w:rsid w:val="00265983"/>
    <w:rsid w:val="00265BEA"/>
    <w:rsid w:val="00265EF3"/>
    <w:rsid w:val="002666B4"/>
    <w:rsid w:val="00266708"/>
    <w:rsid w:val="0026672B"/>
    <w:rsid w:val="002676B7"/>
    <w:rsid w:val="002677F4"/>
    <w:rsid w:val="00267B77"/>
    <w:rsid w:val="00271589"/>
    <w:rsid w:val="00272DC5"/>
    <w:rsid w:val="00273095"/>
    <w:rsid w:val="00273D05"/>
    <w:rsid w:val="00274E11"/>
    <w:rsid w:val="002756B1"/>
    <w:rsid w:val="0027573C"/>
    <w:rsid w:val="00276103"/>
    <w:rsid w:val="0027615B"/>
    <w:rsid w:val="00276425"/>
    <w:rsid w:val="002769CA"/>
    <w:rsid w:val="00276D09"/>
    <w:rsid w:val="00277F11"/>
    <w:rsid w:val="00281F4C"/>
    <w:rsid w:val="00282B8E"/>
    <w:rsid w:val="002831A5"/>
    <w:rsid w:val="00284EE0"/>
    <w:rsid w:val="00286668"/>
    <w:rsid w:val="00287B07"/>
    <w:rsid w:val="002904CC"/>
    <w:rsid w:val="00292280"/>
    <w:rsid w:val="002925F3"/>
    <w:rsid w:val="002938AE"/>
    <w:rsid w:val="00294009"/>
    <w:rsid w:val="00295615"/>
    <w:rsid w:val="00295E73"/>
    <w:rsid w:val="00295F20"/>
    <w:rsid w:val="00295F97"/>
    <w:rsid w:val="0029712E"/>
    <w:rsid w:val="002971A9"/>
    <w:rsid w:val="00297E1D"/>
    <w:rsid w:val="002A034A"/>
    <w:rsid w:val="002A12C0"/>
    <w:rsid w:val="002A1D7A"/>
    <w:rsid w:val="002A1E1C"/>
    <w:rsid w:val="002A27D8"/>
    <w:rsid w:val="002A3510"/>
    <w:rsid w:val="002A3B6C"/>
    <w:rsid w:val="002A44EC"/>
    <w:rsid w:val="002A491C"/>
    <w:rsid w:val="002A4D12"/>
    <w:rsid w:val="002A557F"/>
    <w:rsid w:val="002A57C1"/>
    <w:rsid w:val="002A57D0"/>
    <w:rsid w:val="002A68D7"/>
    <w:rsid w:val="002A727B"/>
    <w:rsid w:val="002B01CD"/>
    <w:rsid w:val="002B035C"/>
    <w:rsid w:val="002B0BBB"/>
    <w:rsid w:val="002B1789"/>
    <w:rsid w:val="002B1E3E"/>
    <w:rsid w:val="002B217C"/>
    <w:rsid w:val="002B24A9"/>
    <w:rsid w:val="002B336B"/>
    <w:rsid w:val="002B425E"/>
    <w:rsid w:val="002B56D2"/>
    <w:rsid w:val="002B5758"/>
    <w:rsid w:val="002B5803"/>
    <w:rsid w:val="002B5EB9"/>
    <w:rsid w:val="002B6335"/>
    <w:rsid w:val="002C0348"/>
    <w:rsid w:val="002C1198"/>
    <w:rsid w:val="002C1B06"/>
    <w:rsid w:val="002C41D2"/>
    <w:rsid w:val="002C4B4F"/>
    <w:rsid w:val="002C58C4"/>
    <w:rsid w:val="002C7711"/>
    <w:rsid w:val="002D0F5F"/>
    <w:rsid w:val="002D0F7C"/>
    <w:rsid w:val="002D12B9"/>
    <w:rsid w:val="002D2A67"/>
    <w:rsid w:val="002D3AE1"/>
    <w:rsid w:val="002D3E90"/>
    <w:rsid w:val="002D3F2A"/>
    <w:rsid w:val="002D401F"/>
    <w:rsid w:val="002D423E"/>
    <w:rsid w:val="002D4915"/>
    <w:rsid w:val="002D53B4"/>
    <w:rsid w:val="002D5441"/>
    <w:rsid w:val="002D5946"/>
    <w:rsid w:val="002E00FC"/>
    <w:rsid w:val="002E047F"/>
    <w:rsid w:val="002E0BE4"/>
    <w:rsid w:val="002E0D7E"/>
    <w:rsid w:val="002E1FFC"/>
    <w:rsid w:val="002E2974"/>
    <w:rsid w:val="002E3E47"/>
    <w:rsid w:val="002E43CF"/>
    <w:rsid w:val="002E4538"/>
    <w:rsid w:val="002E4658"/>
    <w:rsid w:val="002E5130"/>
    <w:rsid w:val="002E5D32"/>
    <w:rsid w:val="002F2002"/>
    <w:rsid w:val="002F2086"/>
    <w:rsid w:val="002F2689"/>
    <w:rsid w:val="002F305C"/>
    <w:rsid w:val="002F3599"/>
    <w:rsid w:val="002F3E08"/>
    <w:rsid w:val="002F4A13"/>
    <w:rsid w:val="002F4B90"/>
    <w:rsid w:val="002F5204"/>
    <w:rsid w:val="002F522F"/>
    <w:rsid w:val="002F533F"/>
    <w:rsid w:val="002F6C7A"/>
    <w:rsid w:val="002F7A5D"/>
    <w:rsid w:val="003008C1"/>
    <w:rsid w:val="00300FB3"/>
    <w:rsid w:val="00301A4D"/>
    <w:rsid w:val="00301B7B"/>
    <w:rsid w:val="003021DD"/>
    <w:rsid w:val="00302978"/>
    <w:rsid w:val="00302A21"/>
    <w:rsid w:val="00303B5F"/>
    <w:rsid w:val="0030573D"/>
    <w:rsid w:val="0030752D"/>
    <w:rsid w:val="003076B1"/>
    <w:rsid w:val="003101A1"/>
    <w:rsid w:val="00311073"/>
    <w:rsid w:val="003129E9"/>
    <w:rsid w:val="00314010"/>
    <w:rsid w:val="00314EB8"/>
    <w:rsid w:val="003151C4"/>
    <w:rsid w:val="00315CF2"/>
    <w:rsid w:val="003163EF"/>
    <w:rsid w:val="003167FF"/>
    <w:rsid w:val="00316A63"/>
    <w:rsid w:val="00317353"/>
    <w:rsid w:val="00317A79"/>
    <w:rsid w:val="00317EDB"/>
    <w:rsid w:val="00317F0D"/>
    <w:rsid w:val="003214C1"/>
    <w:rsid w:val="00322642"/>
    <w:rsid w:val="00323082"/>
    <w:rsid w:val="00323D39"/>
    <w:rsid w:val="00324404"/>
    <w:rsid w:val="0032462A"/>
    <w:rsid w:val="0032527C"/>
    <w:rsid w:val="00325A09"/>
    <w:rsid w:val="00327737"/>
    <w:rsid w:val="003301B7"/>
    <w:rsid w:val="00332774"/>
    <w:rsid w:val="0033288A"/>
    <w:rsid w:val="00332D30"/>
    <w:rsid w:val="00332D68"/>
    <w:rsid w:val="00333858"/>
    <w:rsid w:val="003341BB"/>
    <w:rsid w:val="00334851"/>
    <w:rsid w:val="003352BE"/>
    <w:rsid w:val="00335D22"/>
    <w:rsid w:val="0033612D"/>
    <w:rsid w:val="00336F04"/>
    <w:rsid w:val="00340BBD"/>
    <w:rsid w:val="003417B3"/>
    <w:rsid w:val="00342037"/>
    <w:rsid w:val="003436B4"/>
    <w:rsid w:val="0034422A"/>
    <w:rsid w:val="0034432A"/>
    <w:rsid w:val="00345494"/>
    <w:rsid w:val="003458CC"/>
    <w:rsid w:val="00347369"/>
    <w:rsid w:val="003504EF"/>
    <w:rsid w:val="00350A9C"/>
    <w:rsid w:val="00350CCD"/>
    <w:rsid w:val="0035211A"/>
    <w:rsid w:val="00352B41"/>
    <w:rsid w:val="00353602"/>
    <w:rsid w:val="0035363C"/>
    <w:rsid w:val="0035455D"/>
    <w:rsid w:val="00354AD8"/>
    <w:rsid w:val="00356E2D"/>
    <w:rsid w:val="003570E9"/>
    <w:rsid w:val="00361334"/>
    <w:rsid w:val="003615C1"/>
    <w:rsid w:val="0036235C"/>
    <w:rsid w:val="0036368C"/>
    <w:rsid w:val="00364606"/>
    <w:rsid w:val="0036470F"/>
    <w:rsid w:val="00364C95"/>
    <w:rsid w:val="003656F0"/>
    <w:rsid w:val="003665AC"/>
    <w:rsid w:val="00366B1F"/>
    <w:rsid w:val="00367EDC"/>
    <w:rsid w:val="003707E5"/>
    <w:rsid w:val="00371CA7"/>
    <w:rsid w:val="003724E2"/>
    <w:rsid w:val="00373F06"/>
    <w:rsid w:val="0037459D"/>
    <w:rsid w:val="00375B4A"/>
    <w:rsid w:val="003760B7"/>
    <w:rsid w:val="003769A4"/>
    <w:rsid w:val="003800BD"/>
    <w:rsid w:val="003839D3"/>
    <w:rsid w:val="00383AD1"/>
    <w:rsid w:val="00384492"/>
    <w:rsid w:val="00384D4F"/>
    <w:rsid w:val="00384E50"/>
    <w:rsid w:val="00384ED2"/>
    <w:rsid w:val="003851C1"/>
    <w:rsid w:val="00385655"/>
    <w:rsid w:val="00385C71"/>
    <w:rsid w:val="00385FFF"/>
    <w:rsid w:val="00386A26"/>
    <w:rsid w:val="00387023"/>
    <w:rsid w:val="00387591"/>
    <w:rsid w:val="00387DBE"/>
    <w:rsid w:val="0039234C"/>
    <w:rsid w:val="00392792"/>
    <w:rsid w:val="00393201"/>
    <w:rsid w:val="0039345C"/>
    <w:rsid w:val="00393F86"/>
    <w:rsid w:val="003961BA"/>
    <w:rsid w:val="00397AB2"/>
    <w:rsid w:val="003A0E6B"/>
    <w:rsid w:val="003A12CD"/>
    <w:rsid w:val="003A26AB"/>
    <w:rsid w:val="003A3969"/>
    <w:rsid w:val="003A41A5"/>
    <w:rsid w:val="003A44EE"/>
    <w:rsid w:val="003A5A1A"/>
    <w:rsid w:val="003A64A7"/>
    <w:rsid w:val="003A6D97"/>
    <w:rsid w:val="003A6E7D"/>
    <w:rsid w:val="003A6F34"/>
    <w:rsid w:val="003A70F9"/>
    <w:rsid w:val="003A7D73"/>
    <w:rsid w:val="003B0ED3"/>
    <w:rsid w:val="003B1C8A"/>
    <w:rsid w:val="003B2237"/>
    <w:rsid w:val="003B2689"/>
    <w:rsid w:val="003B2778"/>
    <w:rsid w:val="003B3100"/>
    <w:rsid w:val="003B33E1"/>
    <w:rsid w:val="003B3D29"/>
    <w:rsid w:val="003B6165"/>
    <w:rsid w:val="003B77C9"/>
    <w:rsid w:val="003C0C51"/>
    <w:rsid w:val="003C11B0"/>
    <w:rsid w:val="003C1528"/>
    <w:rsid w:val="003C18EF"/>
    <w:rsid w:val="003C2C62"/>
    <w:rsid w:val="003C35E4"/>
    <w:rsid w:val="003C3A0F"/>
    <w:rsid w:val="003C63DE"/>
    <w:rsid w:val="003C6773"/>
    <w:rsid w:val="003C6BA1"/>
    <w:rsid w:val="003C74B2"/>
    <w:rsid w:val="003D1413"/>
    <w:rsid w:val="003D2157"/>
    <w:rsid w:val="003D35AC"/>
    <w:rsid w:val="003D3CF0"/>
    <w:rsid w:val="003D4142"/>
    <w:rsid w:val="003D52AE"/>
    <w:rsid w:val="003D540B"/>
    <w:rsid w:val="003D5B28"/>
    <w:rsid w:val="003D6866"/>
    <w:rsid w:val="003E0037"/>
    <w:rsid w:val="003E0BDA"/>
    <w:rsid w:val="003E1453"/>
    <w:rsid w:val="003E172A"/>
    <w:rsid w:val="003E2535"/>
    <w:rsid w:val="003E2ED6"/>
    <w:rsid w:val="003E3224"/>
    <w:rsid w:val="003E3AD4"/>
    <w:rsid w:val="003E4094"/>
    <w:rsid w:val="003E4789"/>
    <w:rsid w:val="003E5D64"/>
    <w:rsid w:val="003F0CA7"/>
    <w:rsid w:val="003F1303"/>
    <w:rsid w:val="003F1416"/>
    <w:rsid w:val="003F16D7"/>
    <w:rsid w:val="003F245D"/>
    <w:rsid w:val="003F2AF5"/>
    <w:rsid w:val="003F2F67"/>
    <w:rsid w:val="003F3752"/>
    <w:rsid w:val="003F76A0"/>
    <w:rsid w:val="003F78BB"/>
    <w:rsid w:val="00400F06"/>
    <w:rsid w:val="00401A80"/>
    <w:rsid w:val="0040266B"/>
    <w:rsid w:val="0040308D"/>
    <w:rsid w:val="00403AF7"/>
    <w:rsid w:val="00403B2A"/>
    <w:rsid w:val="004058F8"/>
    <w:rsid w:val="004079B2"/>
    <w:rsid w:val="00410CBE"/>
    <w:rsid w:val="00410E44"/>
    <w:rsid w:val="004118C4"/>
    <w:rsid w:val="00413372"/>
    <w:rsid w:val="004137D8"/>
    <w:rsid w:val="00413ECC"/>
    <w:rsid w:val="004163E2"/>
    <w:rsid w:val="004164BA"/>
    <w:rsid w:val="004170DD"/>
    <w:rsid w:val="004175E3"/>
    <w:rsid w:val="00417786"/>
    <w:rsid w:val="004179BC"/>
    <w:rsid w:val="004203A0"/>
    <w:rsid w:val="004205FF"/>
    <w:rsid w:val="00420AED"/>
    <w:rsid w:val="00421888"/>
    <w:rsid w:val="00422C2F"/>
    <w:rsid w:val="004232C0"/>
    <w:rsid w:val="00423AFC"/>
    <w:rsid w:val="00425398"/>
    <w:rsid w:val="00425BDF"/>
    <w:rsid w:val="00427242"/>
    <w:rsid w:val="00427362"/>
    <w:rsid w:val="0042772C"/>
    <w:rsid w:val="00427A7B"/>
    <w:rsid w:val="004309E5"/>
    <w:rsid w:val="00430D14"/>
    <w:rsid w:val="00430D3B"/>
    <w:rsid w:val="00431689"/>
    <w:rsid w:val="00431749"/>
    <w:rsid w:val="004325BC"/>
    <w:rsid w:val="00433199"/>
    <w:rsid w:val="0043323C"/>
    <w:rsid w:val="004332A3"/>
    <w:rsid w:val="00433E8E"/>
    <w:rsid w:val="0043461D"/>
    <w:rsid w:val="00434979"/>
    <w:rsid w:val="00434CC2"/>
    <w:rsid w:val="00434CEA"/>
    <w:rsid w:val="00435537"/>
    <w:rsid w:val="0043598D"/>
    <w:rsid w:val="00437986"/>
    <w:rsid w:val="004379AC"/>
    <w:rsid w:val="00437EF4"/>
    <w:rsid w:val="004400E1"/>
    <w:rsid w:val="00440815"/>
    <w:rsid w:val="00440AB3"/>
    <w:rsid w:val="00440D2B"/>
    <w:rsid w:val="00441A26"/>
    <w:rsid w:val="00443632"/>
    <w:rsid w:val="00444BC7"/>
    <w:rsid w:val="004451F4"/>
    <w:rsid w:val="00445862"/>
    <w:rsid w:val="00445BE2"/>
    <w:rsid w:val="00445C43"/>
    <w:rsid w:val="004464C6"/>
    <w:rsid w:val="00446E8B"/>
    <w:rsid w:val="004470BD"/>
    <w:rsid w:val="00447CC6"/>
    <w:rsid w:val="00450ACA"/>
    <w:rsid w:val="0045178C"/>
    <w:rsid w:val="004525D1"/>
    <w:rsid w:val="00452679"/>
    <w:rsid w:val="00452BDB"/>
    <w:rsid w:val="00452D81"/>
    <w:rsid w:val="00453287"/>
    <w:rsid w:val="00456294"/>
    <w:rsid w:val="00456461"/>
    <w:rsid w:val="00457456"/>
    <w:rsid w:val="004578C6"/>
    <w:rsid w:val="0045799F"/>
    <w:rsid w:val="00460CB8"/>
    <w:rsid w:val="00461B5F"/>
    <w:rsid w:val="00462292"/>
    <w:rsid w:val="004631CC"/>
    <w:rsid w:val="00463704"/>
    <w:rsid w:val="00464AAE"/>
    <w:rsid w:val="00465F20"/>
    <w:rsid w:val="00466213"/>
    <w:rsid w:val="00466DFC"/>
    <w:rsid w:val="0046703D"/>
    <w:rsid w:val="004710A8"/>
    <w:rsid w:val="00471E76"/>
    <w:rsid w:val="00472D01"/>
    <w:rsid w:val="00472DAC"/>
    <w:rsid w:val="00474052"/>
    <w:rsid w:val="0047409C"/>
    <w:rsid w:val="00476255"/>
    <w:rsid w:val="00476F42"/>
    <w:rsid w:val="00477EC8"/>
    <w:rsid w:val="00480081"/>
    <w:rsid w:val="00481B97"/>
    <w:rsid w:val="00481FBD"/>
    <w:rsid w:val="004828F9"/>
    <w:rsid w:val="004830A5"/>
    <w:rsid w:val="00483B1E"/>
    <w:rsid w:val="004855A1"/>
    <w:rsid w:val="00487A1F"/>
    <w:rsid w:val="004903D6"/>
    <w:rsid w:val="00490DB4"/>
    <w:rsid w:val="0049251D"/>
    <w:rsid w:val="004942E1"/>
    <w:rsid w:val="00494448"/>
    <w:rsid w:val="00494EE8"/>
    <w:rsid w:val="004974BD"/>
    <w:rsid w:val="00497626"/>
    <w:rsid w:val="00497D51"/>
    <w:rsid w:val="004A149B"/>
    <w:rsid w:val="004A14E9"/>
    <w:rsid w:val="004A18DD"/>
    <w:rsid w:val="004A1A69"/>
    <w:rsid w:val="004A2175"/>
    <w:rsid w:val="004A2283"/>
    <w:rsid w:val="004A23E3"/>
    <w:rsid w:val="004A312F"/>
    <w:rsid w:val="004A4E43"/>
    <w:rsid w:val="004A57C1"/>
    <w:rsid w:val="004A6257"/>
    <w:rsid w:val="004A6797"/>
    <w:rsid w:val="004A7018"/>
    <w:rsid w:val="004A7097"/>
    <w:rsid w:val="004A74EE"/>
    <w:rsid w:val="004A7B32"/>
    <w:rsid w:val="004A7F4C"/>
    <w:rsid w:val="004B0259"/>
    <w:rsid w:val="004B09CA"/>
    <w:rsid w:val="004B0ABB"/>
    <w:rsid w:val="004B1525"/>
    <w:rsid w:val="004B1622"/>
    <w:rsid w:val="004B16CB"/>
    <w:rsid w:val="004B18DC"/>
    <w:rsid w:val="004B19E3"/>
    <w:rsid w:val="004B1BBC"/>
    <w:rsid w:val="004B2384"/>
    <w:rsid w:val="004B3231"/>
    <w:rsid w:val="004B493F"/>
    <w:rsid w:val="004B4D7D"/>
    <w:rsid w:val="004B5052"/>
    <w:rsid w:val="004B6466"/>
    <w:rsid w:val="004B6527"/>
    <w:rsid w:val="004B6C31"/>
    <w:rsid w:val="004B79D4"/>
    <w:rsid w:val="004C1168"/>
    <w:rsid w:val="004C359F"/>
    <w:rsid w:val="004C3E83"/>
    <w:rsid w:val="004C4171"/>
    <w:rsid w:val="004C46D4"/>
    <w:rsid w:val="004C4D30"/>
    <w:rsid w:val="004C54EB"/>
    <w:rsid w:val="004C721D"/>
    <w:rsid w:val="004C75E9"/>
    <w:rsid w:val="004C7F6B"/>
    <w:rsid w:val="004C7FAA"/>
    <w:rsid w:val="004D0A35"/>
    <w:rsid w:val="004D107C"/>
    <w:rsid w:val="004D1A17"/>
    <w:rsid w:val="004D1B87"/>
    <w:rsid w:val="004D37D1"/>
    <w:rsid w:val="004D4054"/>
    <w:rsid w:val="004D5619"/>
    <w:rsid w:val="004D7105"/>
    <w:rsid w:val="004E1153"/>
    <w:rsid w:val="004E18E0"/>
    <w:rsid w:val="004E1A44"/>
    <w:rsid w:val="004E2028"/>
    <w:rsid w:val="004E244F"/>
    <w:rsid w:val="004E3274"/>
    <w:rsid w:val="004E3F0F"/>
    <w:rsid w:val="004E4188"/>
    <w:rsid w:val="004E4715"/>
    <w:rsid w:val="004E48E1"/>
    <w:rsid w:val="004E4A09"/>
    <w:rsid w:val="004E61DD"/>
    <w:rsid w:val="004E6284"/>
    <w:rsid w:val="004E67F1"/>
    <w:rsid w:val="004E7186"/>
    <w:rsid w:val="004F0023"/>
    <w:rsid w:val="004F2C7E"/>
    <w:rsid w:val="004F4847"/>
    <w:rsid w:val="004F4D20"/>
    <w:rsid w:val="004F6E58"/>
    <w:rsid w:val="004F7041"/>
    <w:rsid w:val="004F749B"/>
    <w:rsid w:val="00500A2F"/>
    <w:rsid w:val="00500B27"/>
    <w:rsid w:val="00501304"/>
    <w:rsid w:val="00501CC9"/>
    <w:rsid w:val="00501E19"/>
    <w:rsid w:val="0050258E"/>
    <w:rsid w:val="00502ACD"/>
    <w:rsid w:val="00503B45"/>
    <w:rsid w:val="00504047"/>
    <w:rsid w:val="005040D8"/>
    <w:rsid w:val="005041CD"/>
    <w:rsid w:val="00506056"/>
    <w:rsid w:val="00506435"/>
    <w:rsid w:val="005069DC"/>
    <w:rsid w:val="005104F7"/>
    <w:rsid w:val="0051068B"/>
    <w:rsid w:val="00510932"/>
    <w:rsid w:val="00510B4A"/>
    <w:rsid w:val="005119D9"/>
    <w:rsid w:val="00512545"/>
    <w:rsid w:val="00512EAB"/>
    <w:rsid w:val="0051300D"/>
    <w:rsid w:val="005142E8"/>
    <w:rsid w:val="00514440"/>
    <w:rsid w:val="005147EA"/>
    <w:rsid w:val="00514F05"/>
    <w:rsid w:val="005160A9"/>
    <w:rsid w:val="00516223"/>
    <w:rsid w:val="0051630E"/>
    <w:rsid w:val="0051658F"/>
    <w:rsid w:val="00517A40"/>
    <w:rsid w:val="00517F24"/>
    <w:rsid w:val="00520A95"/>
    <w:rsid w:val="00520FBA"/>
    <w:rsid w:val="00525960"/>
    <w:rsid w:val="00525D6E"/>
    <w:rsid w:val="00525F59"/>
    <w:rsid w:val="00526270"/>
    <w:rsid w:val="00526416"/>
    <w:rsid w:val="005265BC"/>
    <w:rsid w:val="0052665E"/>
    <w:rsid w:val="00527039"/>
    <w:rsid w:val="00527350"/>
    <w:rsid w:val="00527F3C"/>
    <w:rsid w:val="00530289"/>
    <w:rsid w:val="005318C0"/>
    <w:rsid w:val="005320F8"/>
    <w:rsid w:val="0053480A"/>
    <w:rsid w:val="005357C1"/>
    <w:rsid w:val="00535E9E"/>
    <w:rsid w:val="0053605B"/>
    <w:rsid w:val="00536CDC"/>
    <w:rsid w:val="0054023D"/>
    <w:rsid w:val="0054065E"/>
    <w:rsid w:val="00540711"/>
    <w:rsid w:val="00541A92"/>
    <w:rsid w:val="00544A78"/>
    <w:rsid w:val="00544E22"/>
    <w:rsid w:val="00546019"/>
    <w:rsid w:val="00546DC7"/>
    <w:rsid w:val="00546FB0"/>
    <w:rsid w:val="005472B2"/>
    <w:rsid w:val="0054773E"/>
    <w:rsid w:val="005510D7"/>
    <w:rsid w:val="005511C7"/>
    <w:rsid w:val="00551C21"/>
    <w:rsid w:val="00552255"/>
    <w:rsid w:val="00552E08"/>
    <w:rsid w:val="005530F8"/>
    <w:rsid w:val="00553D17"/>
    <w:rsid w:val="0055455A"/>
    <w:rsid w:val="00554ABA"/>
    <w:rsid w:val="00555A0A"/>
    <w:rsid w:val="005560DB"/>
    <w:rsid w:val="00556A7F"/>
    <w:rsid w:val="00556AF3"/>
    <w:rsid w:val="00556FDC"/>
    <w:rsid w:val="00557BB6"/>
    <w:rsid w:val="005640F5"/>
    <w:rsid w:val="0056494F"/>
    <w:rsid w:val="00564AA5"/>
    <w:rsid w:val="00564B1B"/>
    <w:rsid w:val="00565745"/>
    <w:rsid w:val="005658E1"/>
    <w:rsid w:val="005659E8"/>
    <w:rsid w:val="00565A19"/>
    <w:rsid w:val="00566738"/>
    <w:rsid w:val="00566CE7"/>
    <w:rsid w:val="00567196"/>
    <w:rsid w:val="0056758A"/>
    <w:rsid w:val="005704B8"/>
    <w:rsid w:val="00570759"/>
    <w:rsid w:val="005713F4"/>
    <w:rsid w:val="00572B74"/>
    <w:rsid w:val="0057306B"/>
    <w:rsid w:val="0057385F"/>
    <w:rsid w:val="00574151"/>
    <w:rsid w:val="005746B0"/>
    <w:rsid w:val="00574B2B"/>
    <w:rsid w:val="0057588C"/>
    <w:rsid w:val="00575E92"/>
    <w:rsid w:val="00576BB8"/>
    <w:rsid w:val="00576EF7"/>
    <w:rsid w:val="005772B4"/>
    <w:rsid w:val="00577C15"/>
    <w:rsid w:val="00577C78"/>
    <w:rsid w:val="005809E7"/>
    <w:rsid w:val="0058261A"/>
    <w:rsid w:val="005839C0"/>
    <w:rsid w:val="00586464"/>
    <w:rsid w:val="00586ED3"/>
    <w:rsid w:val="005870CF"/>
    <w:rsid w:val="00587C8B"/>
    <w:rsid w:val="005903AF"/>
    <w:rsid w:val="005906DC"/>
    <w:rsid w:val="00590F93"/>
    <w:rsid w:val="0059124F"/>
    <w:rsid w:val="005913D4"/>
    <w:rsid w:val="00591626"/>
    <w:rsid w:val="00591968"/>
    <w:rsid w:val="005923A8"/>
    <w:rsid w:val="00593A30"/>
    <w:rsid w:val="00594D2C"/>
    <w:rsid w:val="005A003D"/>
    <w:rsid w:val="005A0AB5"/>
    <w:rsid w:val="005A1E5D"/>
    <w:rsid w:val="005A278D"/>
    <w:rsid w:val="005A2A60"/>
    <w:rsid w:val="005A3DF2"/>
    <w:rsid w:val="005A40BE"/>
    <w:rsid w:val="005A499E"/>
    <w:rsid w:val="005A4B6D"/>
    <w:rsid w:val="005A4D87"/>
    <w:rsid w:val="005A5116"/>
    <w:rsid w:val="005A58D8"/>
    <w:rsid w:val="005A64D6"/>
    <w:rsid w:val="005A6648"/>
    <w:rsid w:val="005A68F4"/>
    <w:rsid w:val="005A7F70"/>
    <w:rsid w:val="005B0556"/>
    <w:rsid w:val="005B0A22"/>
    <w:rsid w:val="005B12F8"/>
    <w:rsid w:val="005B1502"/>
    <w:rsid w:val="005B1957"/>
    <w:rsid w:val="005B21A5"/>
    <w:rsid w:val="005B3509"/>
    <w:rsid w:val="005B38D7"/>
    <w:rsid w:val="005B48F8"/>
    <w:rsid w:val="005B4F2E"/>
    <w:rsid w:val="005B5C68"/>
    <w:rsid w:val="005B667D"/>
    <w:rsid w:val="005B69C9"/>
    <w:rsid w:val="005B6ECA"/>
    <w:rsid w:val="005B7349"/>
    <w:rsid w:val="005B74EE"/>
    <w:rsid w:val="005B7AED"/>
    <w:rsid w:val="005B7BCA"/>
    <w:rsid w:val="005C1423"/>
    <w:rsid w:val="005C1E0A"/>
    <w:rsid w:val="005C2C38"/>
    <w:rsid w:val="005C3E1A"/>
    <w:rsid w:val="005C503C"/>
    <w:rsid w:val="005C5BA0"/>
    <w:rsid w:val="005C5D23"/>
    <w:rsid w:val="005C66AF"/>
    <w:rsid w:val="005C763B"/>
    <w:rsid w:val="005C78B8"/>
    <w:rsid w:val="005C7EBE"/>
    <w:rsid w:val="005D0F33"/>
    <w:rsid w:val="005D13AD"/>
    <w:rsid w:val="005D26F8"/>
    <w:rsid w:val="005D29E2"/>
    <w:rsid w:val="005D3337"/>
    <w:rsid w:val="005D3754"/>
    <w:rsid w:val="005D4696"/>
    <w:rsid w:val="005D46E2"/>
    <w:rsid w:val="005D5E9D"/>
    <w:rsid w:val="005D7491"/>
    <w:rsid w:val="005D760D"/>
    <w:rsid w:val="005E01AA"/>
    <w:rsid w:val="005E035B"/>
    <w:rsid w:val="005E172E"/>
    <w:rsid w:val="005E1BD6"/>
    <w:rsid w:val="005E2361"/>
    <w:rsid w:val="005E2DAA"/>
    <w:rsid w:val="005E69D1"/>
    <w:rsid w:val="005F1B0E"/>
    <w:rsid w:val="005F34E7"/>
    <w:rsid w:val="005F38DA"/>
    <w:rsid w:val="005F3D97"/>
    <w:rsid w:val="005F47D8"/>
    <w:rsid w:val="005F58C0"/>
    <w:rsid w:val="005F5CBD"/>
    <w:rsid w:val="005F731B"/>
    <w:rsid w:val="005F79A9"/>
    <w:rsid w:val="005F7E2D"/>
    <w:rsid w:val="00602014"/>
    <w:rsid w:val="00602DB9"/>
    <w:rsid w:val="00603F8F"/>
    <w:rsid w:val="006041DA"/>
    <w:rsid w:val="0060512F"/>
    <w:rsid w:val="00605226"/>
    <w:rsid w:val="00605627"/>
    <w:rsid w:val="006057FE"/>
    <w:rsid w:val="0060599B"/>
    <w:rsid w:val="006068A6"/>
    <w:rsid w:val="00612383"/>
    <w:rsid w:val="0061300C"/>
    <w:rsid w:val="0061425E"/>
    <w:rsid w:val="006153C2"/>
    <w:rsid w:val="0061775F"/>
    <w:rsid w:val="00617C51"/>
    <w:rsid w:val="0062042A"/>
    <w:rsid w:val="00621055"/>
    <w:rsid w:val="00621A54"/>
    <w:rsid w:val="00621B58"/>
    <w:rsid w:val="00622E48"/>
    <w:rsid w:val="00622FF2"/>
    <w:rsid w:val="00623F12"/>
    <w:rsid w:val="006263E6"/>
    <w:rsid w:val="0062645A"/>
    <w:rsid w:val="00626D5E"/>
    <w:rsid w:val="00632472"/>
    <w:rsid w:val="00633FE6"/>
    <w:rsid w:val="00634383"/>
    <w:rsid w:val="00634ED1"/>
    <w:rsid w:val="006353B0"/>
    <w:rsid w:val="00637422"/>
    <w:rsid w:val="00637592"/>
    <w:rsid w:val="00637F40"/>
    <w:rsid w:val="0064003E"/>
    <w:rsid w:val="00643115"/>
    <w:rsid w:val="006443A9"/>
    <w:rsid w:val="00645312"/>
    <w:rsid w:val="00646634"/>
    <w:rsid w:val="006470ED"/>
    <w:rsid w:val="006503F4"/>
    <w:rsid w:val="00650B4B"/>
    <w:rsid w:val="00650FFF"/>
    <w:rsid w:val="0065107E"/>
    <w:rsid w:val="0065350D"/>
    <w:rsid w:val="006547E6"/>
    <w:rsid w:val="00654A47"/>
    <w:rsid w:val="00654C2F"/>
    <w:rsid w:val="00655563"/>
    <w:rsid w:val="00655771"/>
    <w:rsid w:val="00655889"/>
    <w:rsid w:val="0065591F"/>
    <w:rsid w:val="00655CA1"/>
    <w:rsid w:val="006570FB"/>
    <w:rsid w:val="00657387"/>
    <w:rsid w:val="0065740F"/>
    <w:rsid w:val="00657BBF"/>
    <w:rsid w:val="00657BC4"/>
    <w:rsid w:val="00657C6B"/>
    <w:rsid w:val="00657EE7"/>
    <w:rsid w:val="00660AEB"/>
    <w:rsid w:val="0066162E"/>
    <w:rsid w:val="00661B7D"/>
    <w:rsid w:val="00661B8B"/>
    <w:rsid w:val="00662251"/>
    <w:rsid w:val="00662593"/>
    <w:rsid w:val="00662EB6"/>
    <w:rsid w:val="006634FE"/>
    <w:rsid w:val="006643B0"/>
    <w:rsid w:val="00665DED"/>
    <w:rsid w:val="00665FF7"/>
    <w:rsid w:val="00666840"/>
    <w:rsid w:val="00666F79"/>
    <w:rsid w:val="0067011B"/>
    <w:rsid w:val="00672008"/>
    <w:rsid w:val="006723CC"/>
    <w:rsid w:val="00672A82"/>
    <w:rsid w:val="00672C43"/>
    <w:rsid w:val="00672E53"/>
    <w:rsid w:val="006731DB"/>
    <w:rsid w:val="006733B4"/>
    <w:rsid w:val="0067349F"/>
    <w:rsid w:val="006734E1"/>
    <w:rsid w:val="006748E3"/>
    <w:rsid w:val="00674CA9"/>
    <w:rsid w:val="00675884"/>
    <w:rsid w:val="00676659"/>
    <w:rsid w:val="0067676B"/>
    <w:rsid w:val="00676A4D"/>
    <w:rsid w:val="006804E2"/>
    <w:rsid w:val="00682C64"/>
    <w:rsid w:val="00683558"/>
    <w:rsid w:val="006846C1"/>
    <w:rsid w:val="00684BCE"/>
    <w:rsid w:val="00685850"/>
    <w:rsid w:val="00685A47"/>
    <w:rsid w:val="00685B9E"/>
    <w:rsid w:val="006870AA"/>
    <w:rsid w:val="00687CAF"/>
    <w:rsid w:val="00687D6D"/>
    <w:rsid w:val="0069151A"/>
    <w:rsid w:val="00692113"/>
    <w:rsid w:val="00693805"/>
    <w:rsid w:val="006943C5"/>
    <w:rsid w:val="00694ED2"/>
    <w:rsid w:val="006957AD"/>
    <w:rsid w:val="00695B86"/>
    <w:rsid w:val="00695F02"/>
    <w:rsid w:val="006964A3"/>
    <w:rsid w:val="006973BA"/>
    <w:rsid w:val="006A09E6"/>
    <w:rsid w:val="006A29BB"/>
    <w:rsid w:val="006A3087"/>
    <w:rsid w:val="006A3EAB"/>
    <w:rsid w:val="006A3FE4"/>
    <w:rsid w:val="006A70A0"/>
    <w:rsid w:val="006A764E"/>
    <w:rsid w:val="006B113A"/>
    <w:rsid w:val="006B1CE4"/>
    <w:rsid w:val="006B221C"/>
    <w:rsid w:val="006B2BBB"/>
    <w:rsid w:val="006B2C12"/>
    <w:rsid w:val="006B5849"/>
    <w:rsid w:val="006B6113"/>
    <w:rsid w:val="006B68D3"/>
    <w:rsid w:val="006B7778"/>
    <w:rsid w:val="006B7F1C"/>
    <w:rsid w:val="006B7F43"/>
    <w:rsid w:val="006C0696"/>
    <w:rsid w:val="006C2451"/>
    <w:rsid w:val="006C287D"/>
    <w:rsid w:val="006C30A9"/>
    <w:rsid w:val="006C35FB"/>
    <w:rsid w:val="006C3D7B"/>
    <w:rsid w:val="006C57F2"/>
    <w:rsid w:val="006C5BC4"/>
    <w:rsid w:val="006C5F29"/>
    <w:rsid w:val="006C6705"/>
    <w:rsid w:val="006C6951"/>
    <w:rsid w:val="006C707E"/>
    <w:rsid w:val="006C7149"/>
    <w:rsid w:val="006C74F4"/>
    <w:rsid w:val="006C7D00"/>
    <w:rsid w:val="006D094B"/>
    <w:rsid w:val="006D0CFD"/>
    <w:rsid w:val="006D0F4E"/>
    <w:rsid w:val="006D1EB7"/>
    <w:rsid w:val="006D5646"/>
    <w:rsid w:val="006D6623"/>
    <w:rsid w:val="006D7828"/>
    <w:rsid w:val="006D79C4"/>
    <w:rsid w:val="006E2983"/>
    <w:rsid w:val="006E30BC"/>
    <w:rsid w:val="006E3911"/>
    <w:rsid w:val="006E52F8"/>
    <w:rsid w:val="006E59A7"/>
    <w:rsid w:val="006E6CF1"/>
    <w:rsid w:val="006E7324"/>
    <w:rsid w:val="006F13E9"/>
    <w:rsid w:val="006F1431"/>
    <w:rsid w:val="006F1B68"/>
    <w:rsid w:val="006F2050"/>
    <w:rsid w:val="006F253F"/>
    <w:rsid w:val="006F2615"/>
    <w:rsid w:val="006F2977"/>
    <w:rsid w:val="006F3480"/>
    <w:rsid w:val="006F382C"/>
    <w:rsid w:val="006F3BB3"/>
    <w:rsid w:val="006F3FAB"/>
    <w:rsid w:val="006F4ABA"/>
    <w:rsid w:val="006F5AF9"/>
    <w:rsid w:val="006F5CAC"/>
    <w:rsid w:val="006F61AB"/>
    <w:rsid w:val="006F7153"/>
    <w:rsid w:val="006F740F"/>
    <w:rsid w:val="006F7412"/>
    <w:rsid w:val="006F74A8"/>
    <w:rsid w:val="006F7FEC"/>
    <w:rsid w:val="00701821"/>
    <w:rsid w:val="0070195F"/>
    <w:rsid w:val="0070210F"/>
    <w:rsid w:val="00702433"/>
    <w:rsid w:val="00703AEF"/>
    <w:rsid w:val="007044A7"/>
    <w:rsid w:val="00704BD8"/>
    <w:rsid w:val="007056D7"/>
    <w:rsid w:val="0070619A"/>
    <w:rsid w:val="00707637"/>
    <w:rsid w:val="00707D8A"/>
    <w:rsid w:val="00711962"/>
    <w:rsid w:val="00712BBF"/>
    <w:rsid w:val="0071405C"/>
    <w:rsid w:val="0071488C"/>
    <w:rsid w:val="00714DAF"/>
    <w:rsid w:val="0071504E"/>
    <w:rsid w:val="00715DC6"/>
    <w:rsid w:val="00715E02"/>
    <w:rsid w:val="00715E88"/>
    <w:rsid w:val="00716BEF"/>
    <w:rsid w:val="00717BC1"/>
    <w:rsid w:val="00720E5D"/>
    <w:rsid w:val="00721943"/>
    <w:rsid w:val="00723ADE"/>
    <w:rsid w:val="00723C7C"/>
    <w:rsid w:val="00724772"/>
    <w:rsid w:val="00724860"/>
    <w:rsid w:val="0072640C"/>
    <w:rsid w:val="00727A26"/>
    <w:rsid w:val="00730988"/>
    <w:rsid w:val="00730E17"/>
    <w:rsid w:val="00731DD3"/>
    <w:rsid w:val="00732F81"/>
    <w:rsid w:val="00732F9D"/>
    <w:rsid w:val="00733CE2"/>
    <w:rsid w:val="00733D66"/>
    <w:rsid w:val="00734E9D"/>
    <w:rsid w:val="00735089"/>
    <w:rsid w:val="0073572B"/>
    <w:rsid w:val="007359D4"/>
    <w:rsid w:val="007375CB"/>
    <w:rsid w:val="00737D00"/>
    <w:rsid w:val="00740F27"/>
    <w:rsid w:val="007414CA"/>
    <w:rsid w:val="00741AC8"/>
    <w:rsid w:val="007424D3"/>
    <w:rsid w:val="007429C4"/>
    <w:rsid w:val="00744ACF"/>
    <w:rsid w:val="00745BC7"/>
    <w:rsid w:val="00746412"/>
    <w:rsid w:val="0074772C"/>
    <w:rsid w:val="007504F6"/>
    <w:rsid w:val="00750835"/>
    <w:rsid w:val="007508AC"/>
    <w:rsid w:val="00750FB5"/>
    <w:rsid w:val="007514A2"/>
    <w:rsid w:val="00751851"/>
    <w:rsid w:val="00751968"/>
    <w:rsid w:val="00752BED"/>
    <w:rsid w:val="00752CB7"/>
    <w:rsid w:val="0075349B"/>
    <w:rsid w:val="00753C29"/>
    <w:rsid w:val="00754582"/>
    <w:rsid w:val="0075467E"/>
    <w:rsid w:val="00754F8C"/>
    <w:rsid w:val="007555B9"/>
    <w:rsid w:val="00755EAA"/>
    <w:rsid w:val="00756842"/>
    <w:rsid w:val="00757149"/>
    <w:rsid w:val="00760091"/>
    <w:rsid w:val="00760690"/>
    <w:rsid w:val="00760D2E"/>
    <w:rsid w:val="00761171"/>
    <w:rsid w:val="00761B0B"/>
    <w:rsid w:val="00761B1A"/>
    <w:rsid w:val="007626C9"/>
    <w:rsid w:val="00762B36"/>
    <w:rsid w:val="00762D3D"/>
    <w:rsid w:val="00763678"/>
    <w:rsid w:val="00764004"/>
    <w:rsid w:val="0076523A"/>
    <w:rsid w:val="00765700"/>
    <w:rsid w:val="00765B35"/>
    <w:rsid w:val="00766756"/>
    <w:rsid w:val="00766EBF"/>
    <w:rsid w:val="00770D0E"/>
    <w:rsid w:val="00771119"/>
    <w:rsid w:val="007732D2"/>
    <w:rsid w:val="0077424D"/>
    <w:rsid w:val="0077443B"/>
    <w:rsid w:val="00774C82"/>
    <w:rsid w:val="00774D6C"/>
    <w:rsid w:val="00774F57"/>
    <w:rsid w:val="00775F0A"/>
    <w:rsid w:val="00777AA9"/>
    <w:rsid w:val="00780790"/>
    <w:rsid w:val="007807A4"/>
    <w:rsid w:val="00781739"/>
    <w:rsid w:val="00781863"/>
    <w:rsid w:val="007822CB"/>
    <w:rsid w:val="0078280E"/>
    <w:rsid w:val="00783147"/>
    <w:rsid w:val="00783236"/>
    <w:rsid w:val="007833E2"/>
    <w:rsid w:val="00783ED8"/>
    <w:rsid w:val="007844AA"/>
    <w:rsid w:val="00784D8A"/>
    <w:rsid w:val="00785397"/>
    <w:rsid w:val="0078549E"/>
    <w:rsid w:val="00786107"/>
    <w:rsid w:val="0078630B"/>
    <w:rsid w:val="007863FB"/>
    <w:rsid w:val="00786767"/>
    <w:rsid w:val="0078692B"/>
    <w:rsid w:val="00786B55"/>
    <w:rsid w:val="00787FA8"/>
    <w:rsid w:val="00790408"/>
    <w:rsid w:val="00791168"/>
    <w:rsid w:val="0079255D"/>
    <w:rsid w:val="00792E72"/>
    <w:rsid w:val="00793AA2"/>
    <w:rsid w:val="0079496F"/>
    <w:rsid w:val="00795076"/>
    <w:rsid w:val="00795D85"/>
    <w:rsid w:val="007969C9"/>
    <w:rsid w:val="00797149"/>
    <w:rsid w:val="007A0522"/>
    <w:rsid w:val="007A35E7"/>
    <w:rsid w:val="007A4B8A"/>
    <w:rsid w:val="007A517B"/>
    <w:rsid w:val="007A666C"/>
    <w:rsid w:val="007A6DE4"/>
    <w:rsid w:val="007A79FE"/>
    <w:rsid w:val="007A7ADF"/>
    <w:rsid w:val="007B0C2D"/>
    <w:rsid w:val="007B14E5"/>
    <w:rsid w:val="007B2242"/>
    <w:rsid w:val="007B33EA"/>
    <w:rsid w:val="007B38BD"/>
    <w:rsid w:val="007B425A"/>
    <w:rsid w:val="007B73CF"/>
    <w:rsid w:val="007B7697"/>
    <w:rsid w:val="007C028C"/>
    <w:rsid w:val="007C1307"/>
    <w:rsid w:val="007C185A"/>
    <w:rsid w:val="007C3690"/>
    <w:rsid w:val="007C65C5"/>
    <w:rsid w:val="007D0018"/>
    <w:rsid w:val="007D02AD"/>
    <w:rsid w:val="007D04DF"/>
    <w:rsid w:val="007D0C58"/>
    <w:rsid w:val="007D107D"/>
    <w:rsid w:val="007D125C"/>
    <w:rsid w:val="007D1B44"/>
    <w:rsid w:val="007D1F93"/>
    <w:rsid w:val="007D3088"/>
    <w:rsid w:val="007D3AE5"/>
    <w:rsid w:val="007D3BD8"/>
    <w:rsid w:val="007D3F5B"/>
    <w:rsid w:val="007D44FC"/>
    <w:rsid w:val="007D4627"/>
    <w:rsid w:val="007D5AF4"/>
    <w:rsid w:val="007D5C52"/>
    <w:rsid w:val="007D5E22"/>
    <w:rsid w:val="007D6D68"/>
    <w:rsid w:val="007D6F09"/>
    <w:rsid w:val="007D71C8"/>
    <w:rsid w:val="007D7267"/>
    <w:rsid w:val="007E4065"/>
    <w:rsid w:val="007E4E24"/>
    <w:rsid w:val="007E520B"/>
    <w:rsid w:val="007F12D1"/>
    <w:rsid w:val="007F2366"/>
    <w:rsid w:val="007F33F4"/>
    <w:rsid w:val="007F38FC"/>
    <w:rsid w:val="007F3EFB"/>
    <w:rsid w:val="007F4D2A"/>
    <w:rsid w:val="007F57D4"/>
    <w:rsid w:val="007F5F4E"/>
    <w:rsid w:val="007F601D"/>
    <w:rsid w:val="007F6580"/>
    <w:rsid w:val="007F7433"/>
    <w:rsid w:val="007F7885"/>
    <w:rsid w:val="007F7A3C"/>
    <w:rsid w:val="0080010B"/>
    <w:rsid w:val="0080042F"/>
    <w:rsid w:val="008008E0"/>
    <w:rsid w:val="00801320"/>
    <w:rsid w:val="008013A8"/>
    <w:rsid w:val="0080173E"/>
    <w:rsid w:val="00802F19"/>
    <w:rsid w:val="00804CF6"/>
    <w:rsid w:val="00804EE3"/>
    <w:rsid w:val="00804FFF"/>
    <w:rsid w:val="00805283"/>
    <w:rsid w:val="008062CC"/>
    <w:rsid w:val="008121E1"/>
    <w:rsid w:val="00812353"/>
    <w:rsid w:val="00813BFA"/>
    <w:rsid w:val="0081437F"/>
    <w:rsid w:val="0081461E"/>
    <w:rsid w:val="00814E1F"/>
    <w:rsid w:val="00815294"/>
    <w:rsid w:val="0081547E"/>
    <w:rsid w:val="008165F0"/>
    <w:rsid w:val="00816A4D"/>
    <w:rsid w:val="00817397"/>
    <w:rsid w:val="00817D54"/>
    <w:rsid w:val="008207C9"/>
    <w:rsid w:val="0082396C"/>
    <w:rsid w:val="00823D0A"/>
    <w:rsid w:val="00823F6F"/>
    <w:rsid w:val="008248A0"/>
    <w:rsid w:val="00824E51"/>
    <w:rsid w:val="00825F25"/>
    <w:rsid w:val="008260DD"/>
    <w:rsid w:val="0082610E"/>
    <w:rsid w:val="008269F5"/>
    <w:rsid w:val="008319CA"/>
    <w:rsid w:val="00831ED8"/>
    <w:rsid w:val="00832670"/>
    <w:rsid w:val="008327B3"/>
    <w:rsid w:val="00832E34"/>
    <w:rsid w:val="0083366D"/>
    <w:rsid w:val="008337D5"/>
    <w:rsid w:val="00833C23"/>
    <w:rsid w:val="00833CB1"/>
    <w:rsid w:val="008340AD"/>
    <w:rsid w:val="0083433D"/>
    <w:rsid w:val="008345C9"/>
    <w:rsid w:val="008347A7"/>
    <w:rsid w:val="00835ACF"/>
    <w:rsid w:val="0083676B"/>
    <w:rsid w:val="00837D3F"/>
    <w:rsid w:val="00837FBF"/>
    <w:rsid w:val="0084009A"/>
    <w:rsid w:val="00840798"/>
    <w:rsid w:val="00840DF4"/>
    <w:rsid w:val="0084161B"/>
    <w:rsid w:val="0084220A"/>
    <w:rsid w:val="00842C35"/>
    <w:rsid w:val="00843845"/>
    <w:rsid w:val="00844CC2"/>
    <w:rsid w:val="00845B27"/>
    <w:rsid w:val="008467A1"/>
    <w:rsid w:val="00846AB0"/>
    <w:rsid w:val="0084724D"/>
    <w:rsid w:val="008478E8"/>
    <w:rsid w:val="00847ABA"/>
    <w:rsid w:val="00850198"/>
    <w:rsid w:val="008505A9"/>
    <w:rsid w:val="00851E12"/>
    <w:rsid w:val="0085376D"/>
    <w:rsid w:val="00853FFB"/>
    <w:rsid w:val="00855C76"/>
    <w:rsid w:val="0085646C"/>
    <w:rsid w:val="008577B6"/>
    <w:rsid w:val="00857BF8"/>
    <w:rsid w:val="00857C67"/>
    <w:rsid w:val="00860891"/>
    <w:rsid w:val="00860D87"/>
    <w:rsid w:val="00861964"/>
    <w:rsid w:val="0086227B"/>
    <w:rsid w:val="008629AC"/>
    <w:rsid w:val="00864216"/>
    <w:rsid w:val="00864D32"/>
    <w:rsid w:val="00865D15"/>
    <w:rsid w:val="008661E0"/>
    <w:rsid w:val="008662EF"/>
    <w:rsid w:val="00870824"/>
    <w:rsid w:val="0087170E"/>
    <w:rsid w:val="00872298"/>
    <w:rsid w:val="00872306"/>
    <w:rsid w:val="00872C72"/>
    <w:rsid w:val="00872FF6"/>
    <w:rsid w:val="008731DA"/>
    <w:rsid w:val="00873532"/>
    <w:rsid w:val="0087360B"/>
    <w:rsid w:val="00874189"/>
    <w:rsid w:val="00875BC5"/>
    <w:rsid w:val="008767C6"/>
    <w:rsid w:val="00876F33"/>
    <w:rsid w:val="00880392"/>
    <w:rsid w:val="00880619"/>
    <w:rsid w:val="00880F18"/>
    <w:rsid w:val="008811D5"/>
    <w:rsid w:val="0088150E"/>
    <w:rsid w:val="008819E5"/>
    <w:rsid w:val="008832AB"/>
    <w:rsid w:val="00883716"/>
    <w:rsid w:val="0088497C"/>
    <w:rsid w:val="008849B8"/>
    <w:rsid w:val="00884EC3"/>
    <w:rsid w:val="008866D1"/>
    <w:rsid w:val="00886EDC"/>
    <w:rsid w:val="00887819"/>
    <w:rsid w:val="00887F2C"/>
    <w:rsid w:val="008903BA"/>
    <w:rsid w:val="00892BF0"/>
    <w:rsid w:val="00892BF6"/>
    <w:rsid w:val="00895287"/>
    <w:rsid w:val="0089708E"/>
    <w:rsid w:val="00897B9F"/>
    <w:rsid w:val="008A0F22"/>
    <w:rsid w:val="008A131D"/>
    <w:rsid w:val="008A23BE"/>
    <w:rsid w:val="008A2DD9"/>
    <w:rsid w:val="008A3E28"/>
    <w:rsid w:val="008A4A6F"/>
    <w:rsid w:val="008A607D"/>
    <w:rsid w:val="008A6286"/>
    <w:rsid w:val="008A66A8"/>
    <w:rsid w:val="008B22CD"/>
    <w:rsid w:val="008B22FA"/>
    <w:rsid w:val="008B4427"/>
    <w:rsid w:val="008B50C5"/>
    <w:rsid w:val="008B55C6"/>
    <w:rsid w:val="008B69FA"/>
    <w:rsid w:val="008B6D65"/>
    <w:rsid w:val="008C0EDA"/>
    <w:rsid w:val="008C0F8C"/>
    <w:rsid w:val="008C1690"/>
    <w:rsid w:val="008C170F"/>
    <w:rsid w:val="008C19A1"/>
    <w:rsid w:val="008C2574"/>
    <w:rsid w:val="008C47EE"/>
    <w:rsid w:val="008C4B35"/>
    <w:rsid w:val="008C4BF7"/>
    <w:rsid w:val="008C55C5"/>
    <w:rsid w:val="008C74DF"/>
    <w:rsid w:val="008D003A"/>
    <w:rsid w:val="008D04EE"/>
    <w:rsid w:val="008D0542"/>
    <w:rsid w:val="008D0730"/>
    <w:rsid w:val="008D1542"/>
    <w:rsid w:val="008D219E"/>
    <w:rsid w:val="008D2221"/>
    <w:rsid w:val="008D231B"/>
    <w:rsid w:val="008D2C90"/>
    <w:rsid w:val="008D34A5"/>
    <w:rsid w:val="008D3BEC"/>
    <w:rsid w:val="008D4E4D"/>
    <w:rsid w:val="008D63DA"/>
    <w:rsid w:val="008E07A7"/>
    <w:rsid w:val="008E0F89"/>
    <w:rsid w:val="008E1EEC"/>
    <w:rsid w:val="008E211B"/>
    <w:rsid w:val="008E4A31"/>
    <w:rsid w:val="008E4A6D"/>
    <w:rsid w:val="008E5EDB"/>
    <w:rsid w:val="008E6713"/>
    <w:rsid w:val="008E725F"/>
    <w:rsid w:val="008E7731"/>
    <w:rsid w:val="008F090A"/>
    <w:rsid w:val="008F1467"/>
    <w:rsid w:val="008F1939"/>
    <w:rsid w:val="008F1C11"/>
    <w:rsid w:val="008F4ABB"/>
    <w:rsid w:val="008F524F"/>
    <w:rsid w:val="008F5B03"/>
    <w:rsid w:val="008F6337"/>
    <w:rsid w:val="008F653B"/>
    <w:rsid w:val="008F65C9"/>
    <w:rsid w:val="008F7A32"/>
    <w:rsid w:val="0090180D"/>
    <w:rsid w:val="00901DA4"/>
    <w:rsid w:val="00902378"/>
    <w:rsid w:val="009026AA"/>
    <w:rsid w:val="00903BD4"/>
    <w:rsid w:val="0090422D"/>
    <w:rsid w:val="00904466"/>
    <w:rsid w:val="0090485F"/>
    <w:rsid w:val="009056D5"/>
    <w:rsid w:val="009063DD"/>
    <w:rsid w:val="009070DB"/>
    <w:rsid w:val="009078E2"/>
    <w:rsid w:val="009102CB"/>
    <w:rsid w:val="00910C68"/>
    <w:rsid w:val="00910CFC"/>
    <w:rsid w:val="0091281A"/>
    <w:rsid w:val="00912870"/>
    <w:rsid w:val="009130F0"/>
    <w:rsid w:val="00913206"/>
    <w:rsid w:val="00913B87"/>
    <w:rsid w:val="00914059"/>
    <w:rsid w:val="0091446E"/>
    <w:rsid w:val="00915AA1"/>
    <w:rsid w:val="0091657A"/>
    <w:rsid w:val="00916D59"/>
    <w:rsid w:val="00916EF4"/>
    <w:rsid w:val="0091778A"/>
    <w:rsid w:val="009223D0"/>
    <w:rsid w:val="009224AA"/>
    <w:rsid w:val="00923D1A"/>
    <w:rsid w:val="00924694"/>
    <w:rsid w:val="00924A2F"/>
    <w:rsid w:val="00924C57"/>
    <w:rsid w:val="00924CB2"/>
    <w:rsid w:val="009256CF"/>
    <w:rsid w:val="00926181"/>
    <w:rsid w:val="0092723C"/>
    <w:rsid w:val="00927279"/>
    <w:rsid w:val="0092749D"/>
    <w:rsid w:val="009322CD"/>
    <w:rsid w:val="00932CF3"/>
    <w:rsid w:val="009333DC"/>
    <w:rsid w:val="00933440"/>
    <w:rsid w:val="00933876"/>
    <w:rsid w:val="009363A2"/>
    <w:rsid w:val="009364F7"/>
    <w:rsid w:val="0094039B"/>
    <w:rsid w:val="009405D6"/>
    <w:rsid w:val="00940C1D"/>
    <w:rsid w:val="00940C97"/>
    <w:rsid w:val="00940E78"/>
    <w:rsid w:val="0094134E"/>
    <w:rsid w:val="00941851"/>
    <w:rsid w:val="00941C45"/>
    <w:rsid w:val="009420AC"/>
    <w:rsid w:val="009422BF"/>
    <w:rsid w:val="0094231A"/>
    <w:rsid w:val="00942321"/>
    <w:rsid w:val="0094267B"/>
    <w:rsid w:val="00942F84"/>
    <w:rsid w:val="0094320C"/>
    <w:rsid w:val="00943285"/>
    <w:rsid w:val="00943393"/>
    <w:rsid w:val="009438D6"/>
    <w:rsid w:val="00943ED6"/>
    <w:rsid w:val="00944F63"/>
    <w:rsid w:val="00945829"/>
    <w:rsid w:val="00946039"/>
    <w:rsid w:val="0094676D"/>
    <w:rsid w:val="009473BD"/>
    <w:rsid w:val="009479E4"/>
    <w:rsid w:val="00947A2C"/>
    <w:rsid w:val="00947CF4"/>
    <w:rsid w:val="0095148A"/>
    <w:rsid w:val="00951598"/>
    <w:rsid w:val="00951B65"/>
    <w:rsid w:val="00952ADE"/>
    <w:rsid w:val="00952F6D"/>
    <w:rsid w:val="009534B4"/>
    <w:rsid w:val="00954655"/>
    <w:rsid w:val="0095485F"/>
    <w:rsid w:val="00955324"/>
    <w:rsid w:val="0095778B"/>
    <w:rsid w:val="00957A7C"/>
    <w:rsid w:val="0096317B"/>
    <w:rsid w:val="00963561"/>
    <w:rsid w:val="00963863"/>
    <w:rsid w:val="00964CD1"/>
    <w:rsid w:val="00964EB4"/>
    <w:rsid w:val="009654FB"/>
    <w:rsid w:val="00965598"/>
    <w:rsid w:val="00965DB4"/>
    <w:rsid w:val="009678BB"/>
    <w:rsid w:val="00970228"/>
    <w:rsid w:val="0097383F"/>
    <w:rsid w:val="00974504"/>
    <w:rsid w:val="00974806"/>
    <w:rsid w:val="00975853"/>
    <w:rsid w:val="0097766B"/>
    <w:rsid w:val="00977BCD"/>
    <w:rsid w:val="00977CC4"/>
    <w:rsid w:val="00980F8C"/>
    <w:rsid w:val="00982352"/>
    <w:rsid w:val="0098558D"/>
    <w:rsid w:val="00985FF1"/>
    <w:rsid w:val="00986453"/>
    <w:rsid w:val="009867CB"/>
    <w:rsid w:val="0098794D"/>
    <w:rsid w:val="00987C9A"/>
    <w:rsid w:val="0099037C"/>
    <w:rsid w:val="0099051F"/>
    <w:rsid w:val="00990545"/>
    <w:rsid w:val="009917F7"/>
    <w:rsid w:val="00991894"/>
    <w:rsid w:val="009923C8"/>
    <w:rsid w:val="00992511"/>
    <w:rsid w:val="0099700E"/>
    <w:rsid w:val="0099717D"/>
    <w:rsid w:val="00997285"/>
    <w:rsid w:val="009A092A"/>
    <w:rsid w:val="009A2718"/>
    <w:rsid w:val="009A2ECD"/>
    <w:rsid w:val="009A6302"/>
    <w:rsid w:val="009A66ED"/>
    <w:rsid w:val="009A693D"/>
    <w:rsid w:val="009B0F06"/>
    <w:rsid w:val="009B11D6"/>
    <w:rsid w:val="009B190D"/>
    <w:rsid w:val="009B1966"/>
    <w:rsid w:val="009B1B3F"/>
    <w:rsid w:val="009B1B91"/>
    <w:rsid w:val="009B2D64"/>
    <w:rsid w:val="009B366B"/>
    <w:rsid w:val="009B3703"/>
    <w:rsid w:val="009B430E"/>
    <w:rsid w:val="009B442E"/>
    <w:rsid w:val="009B5273"/>
    <w:rsid w:val="009B6346"/>
    <w:rsid w:val="009B7E47"/>
    <w:rsid w:val="009C0915"/>
    <w:rsid w:val="009C1602"/>
    <w:rsid w:val="009C183A"/>
    <w:rsid w:val="009C346D"/>
    <w:rsid w:val="009C482A"/>
    <w:rsid w:val="009C4BB8"/>
    <w:rsid w:val="009C5EDE"/>
    <w:rsid w:val="009C69FE"/>
    <w:rsid w:val="009C74CC"/>
    <w:rsid w:val="009D16D8"/>
    <w:rsid w:val="009D1B8F"/>
    <w:rsid w:val="009D4929"/>
    <w:rsid w:val="009D5183"/>
    <w:rsid w:val="009D57CA"/>
    <w:rsid w:val="009D7DA4"/>
    <w:rsid w:val="009D7E1A"/>
    <w:rsid w:val="009E0436"/>
    <w:rsid w:val="009E18EC"/>
    <w:rsid w:val="009E1A23"/>
    <w:rsid w:val="009E1ADF"/>
    <w:rsid w:val="009E1CC7"/>
    <w:rsid w:val="009E3E48"/>
    <w:rsid w:val="009E47A1"/>
    <w:rsid w:val="009E4886"/>
    <w:rsid w:val="009E7776"/>
    <w:rsid w:val="009F11D2"/>
    <w:rsid w:val="009F146D"/>
    <w:rsid w:val="009F2661"/>
    <w:rsid w:val="009F3C8D"/>
    <w:rsid w:val="009F4C43"/>
    <w:rsid w:val="009F4ED4"/>
    <w:rsid w:val="009F5B7B"/>
    <w:rsid w:val="009F5DA6"/>
    <w:rsid w:val="00A006CE"/>
    <w:rsid w:val="00A00FB3"/>
    <w:rsid w:val="00A0262F"/>
    <w:rsid w:val="00A03C73"/>
    <w:rsid w:val="00A043DA"/>
    <w:rsid w:val="00A0442A"/>
    <w:rsid w:val="00A04603"/>
    <w:rsid w:val="00A04E71"/>
    <w:rsid w:val="00A05782"/>
    <w:rsid w:val="00A07F43"/>
    <w:rsid w:val="00A07FD2"/>
    <w:rsid w:val="00A13725"/>
    <w:rsid w:val="00A146A6"/>
    <w:rsid w:val="00A147BB"/>
    <w:rsid w:val="00A14F67"/>
    <w:rsid w:val="00A173B5"/>
    <w:rsid w:val="00A20B0C"/>
    <w:rsid w:val="00A20CB9"/>
    <w:rsid w:val="00A21112"/>
    <w:rsid w:val="00A21FD4"/>
    <w:rsid w:val="00A2253C"/>
    <w:rsid w:val="00A22F2A"/>
    <w:rsid w:val="00A233A5"/>
    <w:rsid w:val="00A23595"/>
    <w:rsid w:val="00A23BFC"/>
    <w:rsid w:val="00A23E27"/>
    <w:rsid w:val="00A250D2"/>
    <w:rsid w:val="00A25EE5"/>
    <w:rsid w:val="00A270A8"/>
    <w:rsid w:val="00A275EE"/>
    <w:rsid w:val="00A30334"/>
    <w:rsid w:val="00A324FF"/>
    <w:rsid w:val="00A334C6"/>
    <w:rsid w:val="00A35E2A"/>
    <w:rsid w:val="00A36591"/>
    <w:rsid w:val="00A3667A"/>
    <w:rsid w:val="00A402CF"/>
    <w:rsid w:val="00A414D2"/>
    <w:rsid w:val="00A41DA7"/>
    <w:rsid w:val="00A42573"/>
    <w:rsid w:val="00A431ED"/>
    <w:rsid w:val="00A432B4"/>
    <w:rsid w:val="00A440AD"/>
    <w:rsid w:val="00A44CCD"/>
    <w:rsid w:val="00A4583C"/>
    <w:rsid w:val="00A465F1"/>
    <w:rsid w:val="00A47311"/>
    <w:rsid w:val="00A47A83"/>
    <w:rsid w:val="00A47AF2"/>
    <w:rsid w:val="00A47B3D"/>
    <w:rsid w:val="00A47EFD"/>
    <w:rsid w:val="00A50A22"/>
    <w:rsid w:val="00A51336"/>
    <w:rsid w:val="00A5147C"/>
    <w:rsid w:val="00A5154E"/>
    <w:rsid w:val="00A537BF"/>
    <w:rsid w:val="00A53C63"/>
    <w:rsid w:val="00A55156"/>
    <w:rsid w:val="00A5537D"/>
    <w:rsid w:val="00A554E1"/>
    <w:rsid w:val="00A55C7B"/>
    <w:rsid w:val="00A56DE2"/>
    <w:rsid w:val="00A57463"/>
    <w:rsid w:val="00A57A29"/>
    <w:rsid w:val="00A57CE9"/>
    <w:rsid w:val="00A57E65"/>
    <w:rsid w:val="00A60379"/>
    <w:rsid w:val="00A615D1"/>
    <w:rsid w:val="00A62917"/>
    <w:rsid w:val="00A62948"/>
    <w:rsid w:val="00A63009"/>
    <w:rsid w:val="00A6354F"/>
    <w:rsid w:val="00A63B7E"/>
    <w:rsid w:val="00A64317"/>
    <w:rsid w:val="00A6488E"/>
    <w:rsid w:val="00A65316"/>
    <w:rsid w:val="00A65A95"/>
    <w:rsid w:val="00A66C8D"/>
    <w:rsid w:val="00A6728B"/>
    <w:rsid w:val="00A67DF3"/>
    <w:rsid w:val="00A70120"/>
    <w:rsid w:val="00A7140A"/>
    <w:rsid w:val="00A7140D"/>
    <w:rsid w:val="00A71FAE"/>
    <w:rsid w:val="00A7214C"/>
    <w:rsid w:val="00A72B62"/>
    <w:rsid w:val="00A7322F"/>
    <w:rsid w:val="00A7571B"/>
    <w:rsid w:val="00A75B44"/>
    <w:rsid w:val="00A77211"/>
    <w:rsid w:val="00A773B7"/>
    <w:rsid w:val="00A81F46"/>
    <w:rsid w:val="00A81F83"/>
    <w:rsid w:val="00A82416"/>
    <w:rsid w:val="00A82925"/>
    <w:rsid w:val="00A83CBA"/>
    <w:rsid w:val="00A83FF6"/>
    <w:rsid w:val="00A8526C"/>
    <w:rsid w:val="00A85A44"/>
    <w:rsid w:val="00A87962"/>
    <w:rsid w:val="00A902B6"/>
    <w:rsid w:val="00A90C84"/>
    <w:rsid w:val="00A91556"/>
    <w:rsid w:val="00A91E66"/>
    <w:rsid w:val="00A92296"/>
    <w:rsid w:val="00A933CC"/>
    <w:rsid w:val="00A9380A"/>
    <w:rsid w:val="00A9452E"/>
    <w:rsid w:val="00A953D0"/>
    <w:rsid w:val="00A962F3"/>
    <w:rsid w:val="00A9719A"/>
    <w:rsid w:val="00A97838"/>
    <w:rsid w:val="00A979D9"/>
    <w:rsid w:val="00AA0643"/>
    <w:rsid w:val="00AA08CE"/>
    <w:rsid w:val="00AA1C81"/>
    <w:rsid w:val="00AA2EFC"/>
    <w:rsid w:val="00AA4630"/>
    <w:rsid w:val="00AA4769"/>
    <w:rsid w:val="00AA5EEE"/>
    <w:rsid w:val="00AA676C"/>
    <w:rsid w:val="00AA699E"/>
    <w:rsid w:val="00AA713B"/>
    <w:rsid w:val="00AA76A2"/>
    <w:rsid w:val="00AA79C9"/>
    <w:rsid w:val="00AB088F"/>
    <w:rsid w:val="00AB0EEA"/>
    <w:rsid w:val="00AB12AF"/>
    <w:rsid w:val="00AB132B"/>
    <w:rsid w:val="00AB140D"/>
    <w:rsid w:val="00AB14DF"/>
    <w:rsid w:val="00AB14E9"/>
    <w:rsid w:val="00AB33CE"/>
    <w:rsid w:val="00AB43D9"/>
    <w:rsid w:val="00AB4B8B"/>
    <w:rsid w:val="00AB5695"/>
    <w:rsid w:val="00AB58E7"/>
    <w:rsid w:val="00AB6E7C"/>
    <w:rsid w:val="00AC05EB"/>
    <w:rsid w:val="00AC09FE"/>
    <w:rsid w:val="00AC2032"/>
    <w:rsid w:val="00AC2589"/>
    <w:rsid w:val="00AC2689"/>
    <w:rsid w:val="00AC2B44"/>
    <w:rsid w:val="00AC3093"/>
    <w:rsid w:val="00AC31E5"/>
    <w:rsid w:val="00AC3732"/>
    <w:rsid w:val="00AC48BE"/>
    <w:rsid w:val="00AC55FE"/>
    <w:rsid w:val="00AC5A75"/>
    <w:rsid w:val="00AC6348"/>
    <w:rsid w:val="00AC63CE"/>
    <w:rsid w:val="00AC6494"/>
    <w:rsid w:val="00AC6727"/>
    <w:rsid w:val="00AC686C"/>
    <w:rsid w:val="00AC6FC3"/>
    <w:rsid w:val="00AC70C6"/>
    <w:rsid w:val="00AC74FA"/>
    <w:rsid w:val="00AC7D2F"/>
    <w:rsid w:val="00AD1AAB"/>
    <w:rsid w:val="00AD2D2A"/>
    <w:rsid w:val="00AD436D"/>
    <w:rsid w:val="00AD455B"/>
    <w:rsid w:val="00AD5B84"/>
    <w:rsid w:val="00AD5D6A"/>
    <w:rsid w:val="00AD5F4E"/>
    <w:rsid w:val="00AD6175"/>
    <w:rsid w:val="00AD6524"/>
    <w:rsid w:val="00AD7081"/>
    <w:rsid w:val="00AE07A3"/>
    <w:rsid w:val="00AE0AD1"/>
    <w:rsid w:val="00AE0CCD"/>
    <w:rsid w:val="00AE1954"/>
    <w:rsid w:val="00AE2973"/>
    <w:rsid w:val="00AE2BE9"/>
    <w:rsid w:val="00AE2F1B"/>
    <w:rsid w:val="00AE30F8"/>
    <w:rsid w:val="00AE4653"/>
    <w:rsid w:val="00AE5123"/>
    <w:rsid w:val="00AE5151"/>
    <w:rsid w:val="00AE5774"/>
    <w:rsid w:val="00AE5B60"/>
    <w:rsid w:val="00AE5E45"/>
    <w:rsid w:val="00AE6477"/>
    <w:rsid w:val="00AE6CCA"/>
    <w:rsid w:val="00AE6F23"/>
    <w:rsid w:val="00AE6F27"/>
    <w:rsid w:val="00AE6FD4"/>
    <w:rsid w:val="00AE78C2"/>
    <w:rsid w:val="00AF2377"/>
    <w:rsid w:val="00AF3C64"/>
    <w:rsid w:val="00AF4652"/>
    <w:rsid w:val="00AF4873"/>
    <w:rsid w:val="00AF4C68"/>
    <w:rsid w:val="00AF4D9F"/>
    <w:rsid w:val="00AF52D5"/>
    <w:rsid w:val="00AF5C2A"/>
    <w:rsid w:val="00AF5D97"/>
    <w:rsid w:val="00AF6DF7"/>
    <w:rsid w:val="00AF763E"/>
    <w:rsid w:val="00AF78AE"/>
    <w:rsid w:val="00B012E1"/>
    <w:rsid w:val="00B02184"/>
    <w:rsid w:val="00B02EE5"/>
    <w:rsid w:val="00B03FAF"/>
    <w:rsid w:val="00B05648"/>
    <w:rsid w:val="00B0590E"/>
    <w:rsid w:val="00B0627F"/>
    <w:rsid w:val="00B06D14"/>
    <w:rsid w:val="00B07502"/>
    <w:rsid w:val="00B07D32"/>
    <w:rsid w:val="00B07E2F"/>
    <w:rsid w:val="00B101B9"/>
    <w:rsid w:val="00B1147D"/>
    <w:rsid w:val="00B1193B"/>
    <w:rsid w:val="00B123F0"/>
    <w:rsid w:val="00B141A4"/>
    <w:rsid w:val="00B1443F"/>
    <w:rsid w:val="00B15043"/>
    <w:rsid w:val="00B16868"/>
    <w:rsid w:val="00B16F94"/>
    <w:rsid w:val="00B17133"/>
    <w:rsid w:val="00B178F9"/>
    <w:rsid w:val="00B20088"/>
    <w:rsid w:val="00B213EE"/>
    <w:rsid w:val="00B2212B"/>
    <w:rsid w:val="00B239E2"/>
    <w:rsid w:val="00B23C3A"/>
    <w:rsid w:val="00B24A31"/>
    <w:rsid w:val="00B25B3E"/>
    <w:rsid w:val="00B25E78"/>
    <w:rsid w:val="00B267C9"/>
    <w:rsid w:val="00B27862"/>
    <w:rsid w:val="00B306F1"/>
    <w:rsid w:val="00B30AF6"/>
    <w:rsid w:val="00B312BB"/>
    <w:rsid w:val="00B31BA9"/>
    <w:rsid w:val="00B31D28"/>
    <w:rsid w:val="00B31DA5"/>
    <w:rsid w:val="00B321D3"/>
    <w:rsid w:val="00B324C2"/>
    <w:rsid w:val="00B32FAA"/>
    <w:rsid w:val="00B33484"/>
    <w:rsid w:val="00B348C6"/>
    <w:rsid w:val="00B35504"/>
    <w:rsid w:val="00B37658"/>
    <w:rsid w:val="00B37BBA"/>
    <w:rsid w:val="00B40558"/>
    <w:rsid w:val="00B40C25"/>
    <w:rsid w:val="00B4239B"/>
    <w:rsid w:val="00B42880"/>
    <w:rsid w:val="00B43D57"/>
    <w:rsid w:val="00B44A1C"/>
    <w:rsid w:val="00B461DA"/>
    <w:rsid w:val="00B47C0C"/>
    <w:rsid w:val="00B51184"/>
    <w:rsid w:val="00B52CCE"/>
    <w:rsid w:val="00B52F50"/>
    <w:rsid w:val="00B54A45"/>
    <w:rsid w:val="00B54D21"/>
    <w:rsid w:val="00B55A30"/>
    <w:rsid w:val="00B563ED"/>
    <w:rsid w:val="00B5751D"/>
    <w:rsid w:val="00B576FF"/>
    <w:rsid w:val="00B57BDC"/>
    <w:rsid w:val="00B602BF"/>
    <w:rsid w:val="00B60EF9"/>
    <w:rsid w:val="00B615DC"/>
    <w:rsid w:val="00B625FC"/>
    <w:rsid w:val="00B62875"/>
    <w:rsid w:val="00B62CBE"/>
    <w:rsid w:val="00B63510"/>
    <w:rsid w:val="00B66085"/>
    <w:rsid w:val="00B66479"/>
    <w:rsid w:val="00B6777E"/>
    <w:rsid w:val="00B67B78"/>
    <w:rsid w:val="00B71102"/>
    <w:rsid w:val="00B72478"/>
    <w:rsid w:val="00B74580"/>
    <w:rsid w:val="00B74E81"/>
    <w:rsid w:val="00B75861"/>
    <w:rsid w:val="00B76DC4"/>
    <w:rsid w:val="00B775D4"/>
    <w:rsid w:val="00B77C5D"/>
    <w:rsid w:val="00B84468"/>
    <w:rsid w:val="00B846D5"/>
    <w:rsid w:val="00B85025"/>
    <w:rsid w:val="00B8537F"/>
    <w:rsid w:val="00B8554D"/>
    <w:rsid w:val="00B85895"/>
    <w:rsid w:val="00B85EC0"/>
    <w:rsid w:val="00B866AF"/>
    <w:rsid w:val="00B86C44"/>
    <w:rsid w:val="00B87C11"/>
    <w:rsid w:val="00B87DC3"/>
    <w:rsid w:val="00B9132C"/>
    <w:rsid w:val="00B91D1E"/>
    <w:rsid w:val="00B93534"/>
    <w:rsid w:val="00B93F39"/>
    <w:rsid w:val="00B9420C"/>
    <w:rsid w:val="00B94F9F"/>
    <w:rsid w:val="00B953F2"/>
    <w:rsid w:val="00B967AC"/>
    <w:rsid w:val="00B96BFC"/>
    <w:rsid w:val="00B96FC5"/>
    <w:rsid w:val="00BA0450"/>
    <w:rsid w:val="00BA0907"/>
    <w:rsid w:val="00BA0955"/>
    <w:rsid w:val="00BA0F3D"/>
    <w:rsid w:val="00BA2CAE"/>
    <w:rsid w:val="00BA32CB"/>
    <w:rsid w:val="00BA50FD"/>
    <w:rsid w:val="00BA53FD"/>
    <w:rsid w:val="00BA6655"/>
    <w:rsid w:val="00BB165B"/>
    <w:rsid w:val="00BB1E14"/>
    <w:rsid w:val="00BB217D"/>
    <w:rsid w:val="00BB221D"/>
    <w:rsid w:val="00BB26FA"/>
    <w:rsid w:val="00BB30AF"/>
    <w:rsid w:val="00BB5C62"/>
    <w:rsid w:val="00BB6FFD"/>
    <w:rsid w:val="00BB701E"/>
    <w:rsid w:val="00BB709B"/>
    <w:rsid w:val="00BC0511"/>
    <w:rsid w:val="00BC0BA4"/>
    <w:rsid w:val="00BC2E53"/>
    <w:rsid w:val="00BC2E5C"/>
    <w:rsid w:val="00BC3336"/>
    <w:rsid w:val="00BC3BCA"/>
    <w:rsid w:val="00BC3C51"/>
    <w:rsid w:val="00BC3D0E"/>
    <w:rsid w:val="00BC484D"/>
    <w:rsid w:val="00BC62A4"/>
    <w:rsid w:val="00BC6D61"/>
    <w:rsid w:val="00BD1886"/>
    <w:rsid w:val="00BD20B2"/>
    <w:rsid w:val="00BD3B78"/>
    <w:rsid w:val="00BD3FAF"/>
    <w:rsid w:val="00BD6A69"/>
    <w:rsid w:val="00BD6AFA"/>
    <w:rsid w:val="00BD74E1"/>
    <w:rsid w:val="00BE067B"/>
    <w:rsid w:val="00BE0892"/>
    <w:rsid w:val="00BE183C"/>
    <w:rsid w:val="00BE28A8"/>
    <w:rsid w:val="00BE35A8"/>
    <w:rsid w:val="00BE4B2C"/>
    <w:rsid w:val="00BE600D"/>
    <w:rsid w:val="00BF2139"/>
    <w:rsid w:val="00BF3673"/>
    <w:rsid w:val="00BF4124"/>
    <w:rsid w:val="00BF456B"/>
    <w:rsid w:val="00BF4DC7"/>
    <w:rsid w:val="00BF4EC4"/>
    <w:rsid w:val="00BF5162"/>
    <w:rsid w:val="00BF6469"/>
    <w:rsid w:val="00BF7631"/>
    <w:rsid w:val="00C003A2"/>
    <w:rsid w:val="00C007EC"/>
    <w:rsid w:val="00C01488"/>
    <w:rsid w:val="00C01492"/>
    <w:rsid w:val="00C0217C"/>
    <w:rsid w:val="00C02466"/>
    <w:rsid w:val="00C02FBF"/>
    <w:rsid w:val="00C0310F"/>
    <w:rsid w:val="00C039CF"/>
    <w:rsid w:val="00C040A0"/>
    <w:rsid w:val="00C04AD2"/>
    <w:rsid w:val="00C05188"/>
    <w:rsid w:val="00C054AC"/>
    <w:rsid w:val="00C05E9C"/>
    <w:rsid w:val="00C05F28"/>
    <w:rsid w:val="00C05FC6"/>
    <w:rsid w:val="00C0608D"/>
    <w:rsid w:val="00C1069E"/>
    <w:rsid w:val="00C108C3"/>
    <w:rsid w:val="00C12763"/>
    <w:rsid w:val="00C12DEC"/>
    <w:rsid w:val="00C13E27"/>
    <w:rsid w:val="00C15BD8"/>
    <w:rsid w:val="00C1730C"/>
    <w:rsid w:val="00C204A6"/>
    <w:rsid w:val="00C21613"/>
    <w:rsid w:val="00C23033"/>
    <w:rsid w:val="00C23931"/>
    <w:rsid w:val="00C23D92"/>
    <w:rsid w:val="00C2466F"/>
    <w:rsid w:val="00C25326"/>
    <w:rsid w:val="00C25507"/>
    <w:rsid w:val="00C26D16"/>
    <w:rsid w:val="00C27271"/>
    <w:rsid w:val="00C273EB"/>
    <w:rsid w:val="00C27A92"/>
    <w:rsid w:val="00C309B5"/>
    <w:rsid w:val="00C30C82"/>
    <w:rsid w:val="00C30D07"/>
    <w:rsid w:val="00C33164"/>
    <w:rsid w:val="00C3342C"/>
    <w:rsid w:val="00C361F6"/>
    <w:rsid w:val="00C3675D"/>
    <w:rsid w:val="00C36908"/>
    <w:rsid w:val="00C36BFA"/>
    <w:rsid w:val="00C36F9E"/>
    <w:rsid w:val="00C37F09"/>
    <w:rsid w:val="00C40407"/>
    <w:rsid w:val="00C425A4"/>
    <w:rsid w:val="00C43603"/>
    <w:rsid w:val="00C4419B"/>
    <w:rsid w:val="00C443A0"/>
    <w:rsid w:val="00C45A80"/>
    <w:rsid w:val="00C47525"/>
    <w:rsid w:val="00C4755C"/>
    <w:rsid w:val="00C477E4"/>
    <w:rsid w:val="00C47D84"/>
    <w:rsid w:val="00C5042A"/>
    <w:rsid w:val="00C50D17"/>
    <w:rsid w:val="00C518C5"/>
    <w:rsid w:val="00C53813"/>
    <w:rsid w:val="00C5381F"/>
    <w:rsid w:val="00C53E01"/>
    <w:rsid w:val="00C54C29"/>
    <w:rsid w:val="00C5535C"/>
    <w:rsid w:val="00C55463"/>
    <w:rsid w:val="00C61DB0"/>
    <w:rsid w:val="00C62B86"/>
    <w:rsid w:val="00C63208"/>
    <w:rsid w:val="00C63616"/>
    <w:rsid w:val="00C63CB3"/>
    <w:rsid w:val="00C6499E"/>
    <w:rsid w:val="00C64D96"/>
    <w:rsid w:val="00C65064"/>
    <w:rsid w:val="00C65A31"/>
    <w:rsid w:val="00C66528"/>
    <w:rsid w:val="00C66614"/>
    <w:rsid w:val="00C66CDF"/>
    <w:rsid w:val="00C66E7F"/>
    <w:rsid w:val="00C7075B"/>
    <w:rsid w:val="00C71FDD"/>
    <w:rsid w:val="00C724E0"/>
    <w:rsid w:val="00C72AA0"/>
    <w:rsid w:val="00C72C1F"/>
    <w:rsid w:val="00C7314D"/>
    <w:rsid w:val="00C748C2"/>
    <w:rsid w:val="00C75308"/>
    <w:rsid w:val="00C75AFA"/>
    <w:rsid w:val="00C76A14"/>
    <w:rsid w:val="00C77694"/>
    <w:rsid w:val="00C82C7D"/>
    <w:rsid w:val="00C82FB2"/>
    <w:rsid w:val="00C83B42"/>
    <w:rsid w:val="00C85546"/>
    <w:rsid w:val="00C86548"/>
    <w:rsid w:val="00C865A4"/>
    <w:rsid w:val="00C865D3"/>
    <w:rsid w:val="00C90530"/>
    <w:rsid w:val="00C905D4"/>
    <w:rsid w:val="00C90738"/>
    <w:rsid w:val="00C910F6"/>
    <w:rsid w:val="00C91D65"/>
    <w:rsid w:val="00C945A7"/>
    <w:rsid w:val="00C9480B"/>
    <w:rsid w:val="00C950E0"/>
    <w:rsid w:val="00C958F4"/>
    <w:rsid w:val="00C95AB2"/>
    <w:rsid w:val="00C962DF"/>
    <w:rsid w:val="00C97A87"/>
    <w:rsid w:val="00C97C68"/>
    <w:rsid w:val="00CA21B6"/>
    <w:rsid w:val="00CA23D4"/>
    <w:rsid w:val="00CA23EF"/>
    <w:rsid w:val="00CA257A"/>
    <w:rsid w:val="00CA2F63"/>
    <w:rsid w:val="00CA3C70"/>
    <w:rsid w:val="00CA3CB9"/>
    <w:rsid w:val="00CA4D7E"/>
    <w:rsid w:val="00CA54A3"/>
    <w:rsid w:val="00CA5C3B"/>
    <w:rsid w:val="00CB04A4"/>
    <w:rsid w:val="00CB0E9B"/>
    <w:rsid w:val="00CB28CD"/>
    <w:rsid w:val="00CB5D5D"/>
    <w:rsid w:val="00CB632A"/>
    <w:rsid w:val="00CB64E6"/>
    <w:rsid w:val="00CB7A89"/>
    <w:rsid w:val="00CC15CE"/>
    <w:rsid w:val="00CC201D"/>
    <w:rsid w:val="00CC25CA"/>
    <w:rsid w:val="00CC2EED"/>
    <w:rsid w:val="00CC3907"/>
    <w:rsid w:val="00CC3A46"/>
    <w:rsid w:val="00CC3FFA"/>
    <w:rsid w:val="00CC5821"/>
    <w:rsid w:val="00CC5F99"/>
    <w:rsid w:val="00CC62BB"/>
    <w:rsid w:val="00CC647E"/>
    <w:rsid w:val="00CD24CB"/>
    <w:rsid w:val="00CD26A8"/>
    <w:rsid w:val="00CD2D6C"/>
    <w:rsid w:val="00CD2EAA"/>
    <w:rsid w:val="00CD3610"/>
    <w:rsid w:val="00CD3E75"/>
    <w:rsid w:val="00CD44D7"/>
    <w:rsid w:val="00CD63BB"/>
    <w:rsid w:val="00CD79C7"/>
    <w:rsid w:val="00CD7F1F"/>
    <w:rsid w:val="00CE070F"/>
    <w:rsid w:val="00CE08AF"/>
    <w:rsid w:val="00CE21E0"/>
    <w:rsid w:val="00CE3898"/>
    <w:rsid w:val="00CE471C"/>
    <w:rsid w:val="00CE5292"/>
    <w:rsid w:val="00CE5B4D"/>
    <w:rsid w:val="00CE6653"/>
    <w:rsid w:val="00CE7E5C"/>
    <w:rsid w:val="00CF02C8"/>
    <w:rsid w:val="00CF0550"/>
    <w:rsid w:val="00CF1957"/>
    <w:rsid w:val="00CF331C"/>
    <w:rsid w:val="00CF40B1"/>
    <w:rsid w:val="00CF43E9"/>
    <w:rsid w:val="00CF49AA"/>
    <w:rsid w:val="00CF5DF0"/>
    <w:rsid w:val="00CF78FC"/>
    <w:rsid w:val="00D00506"/>
    <w:rsid w:val="00D00685"/>
    <w:rsid w:val="00D00D4D"/>
    <w:rsid w:val="00D00D6F"/>
    <w:rsid w:val="00D0286F"/>
    <w:rsid w:val="00D02B70"/>
    <w:rsid w:val="00D04432"/>
    <w:rsid w:val="00D06BA2"/>
    <w:rsid w:val="00D101DB"/>
    <w:rsid w:val="00D103C7"/>
    <w:rsid w:val="00D10EE9"/>
    <w:rsid w:val="00D10FCA"/>
    <w:rsid w:val="00D13819"/>
    <w:rsid w:val="00D14238"/>
    <w:rsid w:val="00D14782"/>
    <w:rsid w:val="00D14DF9"/>
    <w:rsid w:val="00D14FC9"/>
    <w:rsid w:val="00D150AC"/>
    <w:rsid w:val="00D16A16"/>
    <w:rsid w:val="00D16E7F"/>
    <w:rsid w:val="00D17C57"/>
    <w:rsid w:val="00D2124D"/>
    <w:rsid w:val="00D21502"/>
    <w:rsid w:val="00D2244A"/>
    <w:rsid w:val="00D22B3A"/>
    <w:rsid w:val="00D234AC"/>
    <w:rsid w:val="00D255F6"/>
    <w:rsid w:val="00D25942"/>
    <w:rsid w:val="00D25AB3"/>
    <w:rsid w:val="00D25DD0"/>
    <w:rsid w:val="00D26020"/>
    <w:rsid w:val="00D268AF"/>
    <w:rsid w:val="00D27B3C"/>
    <w:rsid w:val="00D314BF"/>
    <w:rsid w:val="00D31B6C"/>
    <w:rsid w:val="00D328D1"/>
    <w:rsid w:val="00D33174"/>
    <w:rsid w:val="00D344D2"/>
    <w:rsid w:val="00D35649"/>
    <w:rsid w:val="00D37446"/>
    <w:rsid w:val="00D37B16"/>
    <w:rsid w:val="00D37E42"/>
    <w:rsid w:val="00D40B39"/>
    <w:rsid w:val="00D413B1"/>
    <w:rsid w:val="00D42E63"/>
    <w:rsid w:val="00D43089"/>
    <w:rsid w:val="00D43108"/>
    <w:rsid w:val="00D43803"/>
    <w:rsid w:val="00D44209"/>
    <w:rsid w:val="00D44916"/>
    <w:rsid w:val="00D4500E"/>
    <w:rsid w:val="00D4618F"/>
    <w:rsid w:val="00D46D16"/>
    <w:rsid w:val="00D4717E"/>
    <w:rsid w:val="00D47A6D"/>
    <w:rsid w:val="00D51374"/>
    <w:rsid w:val="00D53A2D"/>
    <w:rsid w:val="00D54CD0"/>
    <w:rsid w:val="00D56811"/>
    <w:rsid w:val="00D575E6"/>
    <w:rsid w:val="00D57E8E"/>
    <w:rsid w:val="00D600DC"/>
    <w:rsid w:val="00D61A58"/>
    <w:rsid w:val="00D61DF0"/>
    <w:rsid w:val="00D63F26"/>
    <w:rsid w:val="00D64B3E"/>
    <w:rsid w:val="00D65580"/>
    <w:rsid w:val="00D65815"/>
    <w:rsid w:val="00D65A55"/>
    <w:rsid w:val="00D65BB1"/>
    <w:rsid w:val="00D663D3"/>
    <w:rsid w:val="00D66BA7"/>
    <w:rsid w:val="00D66ECB"/>
    <w:rsid w:val="00D700B1"/>
    <w:rsid w:val="00D7067B"/>
    <w:rsid w:val="00D708E8"/>
    <w:rsid w:val="00D70D80"/>
    <w:rsid w:val="00D72243"/>
    <w:rsid w:val="00D72BFC"/>
    <w:rsid w:val="00D73C60"/>
    <w:rsid w:val="00D73CD2"/>
    <w:rsid w:val="00D7416D"/>
    <w:rsid w:val="00D7449B"/>
    <w:rsid w:val="00D75A0D"/>
    <w:rsid w:val="00D75E52"/>
    <w:rsid w:val="00D7621B"/>
    <w:rsid w:val="00D7670D"/>
    <w:rsid w:val="00D769C8"/>
    <w:rsid w:val="00D76DE5"/>
    <w:rsid w:val="00D7766E"/>
    <w:rsid w:val="00D83401"/>
    <w:rsid w:val="00D83A20"/>
    <w:rsid w:val="00D8540C"/>
    <w:rsid w:val="00D856E9"/>
    <w:rsid w:val="00D85FD6"/>
    <w:rsid w:val="00D8644B"/>
    <w:rsid w:val="00D86A16"/>
    <w:rsid w:val="00D86B4B"/>
    <w:rsid w:val="00D86BFF"/>
    <w:rsid w:val="00D86C65"/>
    <w:rsid w:val="00D87E07"/>
    <w:rsid w:val="00D90FE9"/>
    <w:rsid w:val="00D91381"/>
    <w:rsid w:val="00D9140B"/>
    <w:rsid w:val="00D915F3"/>
    <w:rsid w:val="00D91775"/>
    <w:rsid w:val="00D91DA9"/>
    <w:rsid w:val="00D938D0"/>
    <w:rsid w:val="00D9435E"/>
    <w:rsid w:val="00D94716"/>
    <w:rsid w:val="00D95369"/>
    <w:rsid w:val="00D95840"/>
    <w:rsid w:val="00D9634D"/>
    <w:rsid w:val="00D96FFE"/>
    <w:rsid w:val="00D97D47"/>
    <w:rsid w:val="00DA06DB"/>
    <w:rsid w:val="00DA3CCE"/>
    <w:rsid w:val="00DA3CF5"/>
    <w:rsid w:val="00DA443C"/>
    <w:rsid w:val="00DA4943"/>
    <w:rsid w:val="00DA5F39"/>
    <w:rsid w:val="00DA7AB3"/>
    <w:rsid w:val="00DB0AFD"/>
    <w:rsid w:val="00DB1546"/>
    <w:rsid w:val="00DB171B"/>
    <w:rsid w:val="00DB1ABB"/>
    <w:rsid w:val="00DB263F"/>
    <w:rsid w:val="00DB2704"/>
    <w:rsid w:val="00DB2EC2"/>
    <w:rsid w:val="00DB2F42"/>
    <w:rsid w:val="00DB417B"/>
    <w:rsid w:val="00DB4267"/>
    <w:rsid w:val="00DB45BB"/>
    <w:rsid w:val="00DB4FFD"/>
    <w:rsid w:val="00DB51AB"/>
    <w:rsid w:val="00DB5BC4"/>
    <w:rsid w:val="00DB6144"/>
    <w:rsid w:val="00DB67A6"/>
    <w:rsid w:val="00DB6990"/>
    <w:rsid w:val="00DB7157"/>
    <w:rsid w:val="00DB7802"/>
    <w:rsid w:val="00DB7858"/>
    <w:rsid w:val="00DB7D5B"/>
    <w:rsid w:val="00DC0D24"/>
    <w:rsid w:val="00DC0FF6"/>
    <w:rsid w:val="00DC17FD"/>
    <w:rsid w:val="00DC1DCF"/>
    <w:rsid w:val="00DC3669"/>
    <w:rsid w:val="00DC3A2A"/>
    <w:rsid w:val="00DC3A39"/>
    <w:rsid w:val="00DC4967"/>
    <w:rsid w:val="00DC53CD"/>
    <w:rsid w:val="00DC637C"/>
    <w:rsid w:val="00DC6B4D"/>
    <w:rsid w:val="00DC6EC7"/>
    <w:rsid w:val="00DC74D4"/>
    <w:rsid w:val="00DC7C3F"/>
    <w:rsid w:val="00DD06B0"/>
    <w:rsid w:val="00DD0D42"/>
    <w:rsid w:val="00DD0FF3"/>
    <w:rsid w:val="00DD1083"/>
    <w:rsid w:val="00DD1462"/>
    <w:rsid w:val="00DD1529"/>
    <w:rsid w:val="00DD2678"/>
    <w:rsid w:val="00DD3C63"/>
    <w:rsid w:val="00DD43A6"/>
    <w:rsid w:val="00DD5543"/>
    <w:rsid w:val="00DD555C"/>
    <w:rsid w:val="00DD5707"/>
    <w:rsid w:val="00DD68EF"/>
    <w:rsid w:val="00DD759E"/>
    <w:rsid w:val="00DD7721"/>
    <w:rsid w:val="00DE04A4"/>
    <w:rsid w:val="00DE0639"/>
    <w:rsid w:val="00DE0ACD"/>
    <w:rsid w:val="00DE138C"/>
    <w:rsid w:val="00DE30BD"/>
    <w:rsid w:val="00DE4221"/>
    <w:rsid w:val="00DE4687"/>
    <w:rsid w:val="00DF0344"/>
    <w:rsid w:val="00DF1193"/>
    <w:rsid w:val="00DF1B31"/>
    <w:rsid w:val="00DF22C8"/>
    <w:rsid w:val="00DF22E4"/>
    <w:rsid w:val="00DF235F"/>
    <w:rsid w:val="00DF5AF4"/>
    <w:rsid w:val="00DF62AB"/>
    <w:rsid w:val="00DF6D48"/>
    <w:rsid w:val="00DF731C"/>
    <w:rsid w:val="00DF7BB8"/>
    <w:rsid w:val="00E016DC"/>
    <w:rsid w:val="00E01E15"/>
    <w:rsid w:val="00E01E56"/>
    <w:rsid w:val="00E026DA"/>
    <w:rsid w:val="00E034D8"/>
    <w:rsid w:val="00E0361A"/>
    <w:rsid w:val="00E03B3B"/>
    <w:rsid w:val="00E05F1C"/>
    <w:rsid w:val="00E06357"/>
    <w:rsid w:val="00E078A7"/>
    <w:rsid w:val="00E07FA0"/>
    <w:rsid w:val="00E10734"/>
    <w:rsid w:val="00E115EA"/>
    <w:rsid w:val="00E13061"/>
    <w:rsid w:val="00E131F3"/>
    <w:rsid w:val="00E13683"/>
    <w:rsid w:val="00E137D3"/>
    <w:rsid w:val="00E13E1A"/>
    <w:rsid w:val="00E15A2F"/>
    <w:rsid w:val="00E15E62"/>
    <w:rsid w:val="00E16A39"/>
    <w:rsid w:val="00E17918"/>
    <w:rsid w:val="00E17A2C"/>
    <w:rsid w:val="00E20717"/>
    <w:rsid w:val="00E207C6"/>
    <w:rsid w:val="00E22C0F"/>
    <w:rsid w:val="00E23F66"/>
    <w:rsid w:val="00E24274"/>
    <w:rsid w:val="00E25014"/>
    <w:rsid w:val="00E25392"/>
    <w:rsid w:val="00E25B03"/>
    <w:rsid w:val="00E25F0A"/>
    <w:rsid w:val="00E305F3"/>
    <w:rsid w:val="00E30843"/>
    <w:rsid w:val="00E308AF"/>
    <w:rsid w:val="00E308E3"/>
    <w:rsid w:val="00E309C4"/>
    <w:rsid w:val="00E30A7C"/>
    <w:rsid w:val="00E31165"/>
    <w:rsid w:val="00E317B0"/>
    <w:rsid w:val="00E31ADC"/>
    <w:rsid w:val="00E31BB0"/>
    <w:rsid w:val="00E329BA"/>
    <w:rsid w:val="00E33531"/>
    <w:rsid w:val="00E3502A"/>
    <w:rsid w:val="00E356D6"/>
    <w:rsid w:val="00E35CB8"/>
    <w:rsid w:val="00E37129"/>
    <w:rsid w:val="00E373F4"/>
    <w:rsid w:val="00E40FF2"/>
    <w:rsid w:val="00E424C6"/>
    <w:rsid w:val="00E43EB0"/>
    <w:rsid w:val="00E45E2D"/>
    <w:rsid w:val="00E462A9"/>
    <w:rsid w:val="00E5004F"/>
    <w:rsid w:val="00E505E8"/>
    <w:rsid w:val="00E51524"/>
    <w:rsid w:val="00E515D0"/>
    <w:rsid w:val="00E534FD"/>
    <w:rsid w:val="00E536A9"/>
    <w:rsid w:val="00E54737"/>
    <w:rsid w:val="00E54CDC"/>
    <w:rsid w:val="00E55308"/>
    <w:rsid w:val="00E55590"/>
    <w:rsid w:val="00E555FB"/>
    <w:rsid w:val="00E559EE"/>
    <w:rsid w:val="00E571B9"/>
    <w:rsid w:val="00E57793"/>
    <w:rsid w:val="00E60634"/>
    <w:rsid w:val="00E60C3E"/>
    <w:rsid w:val="00E61025"/>
    <w:rsid w:val="00E61F21"/>
    <w:rsid w:val="00E628E5"/>
    <w:rsid w:val="00E6388D"/>
    <w:rsid w:val="00E64236"/>
    <w:rsid w:val="00E645F8"/>
    <w:rsid w:val="00E6461C"/>
    <w:rsid w:val="00E6715F"/>
    <w:rsid w:val="00E673A2"/>
    <w:rsid w:val="00E6776A"/>
    <w:rsid w:val="00E67A9D"/>
    <w:rsid w:val="00E7074A"/>
    <w:rsid w:val="00E70DDF"/>
    <w:rsid w:val="00E716EB"/>
    <w:rsid w:val="00E72304"/>
    <w:rsid w:val="00E73B3B"/>
    <w:rsid w:val="00E74117"/>
    <w:rsid w:val="00E74C74"/>
    <w:rsid w:val="00E74E33"/>
    <w:rsid w:val="00E75366"/>
    <w:rsid w:val="00E75F48"/>
    <w:rsid w:val="00E76A37"/>
    <w:rsid w:val="00E77513"/>
    <w:rsid w:val="00E77DA6"/>
    <w:rsid w:val="00E80D9B"/>
    <w:rsid w:val="00E81B1C"/>
    <w:rsid w:val="00E83063"/>
    <w:rsid w:val="00E83368"/>
    <w:rsid w:val="00E859B3"/>
    <w:rsid w:val="00E85B82"/>
    <w:rsid w:val="00E864F7"/>
    <w:rsid w:val="00E8685A"/>
    <w:rsid w:val="00E87536"/>
    <w:rsid w:val="00E87570"/>
    <w:rsid w:val="00E90AAD"/>
    <w:rsid w:val="00E910C8"/>
    <w:rsid w:val="00E918E1"/>
    <w:rsid w:val="00E9264A"/>
    <w:rsid w:val="00E9264F"/>
    <w:rsid w:val="00E938A7"/>
    <w:rsid w:val="00E9436C"/>
    <w:rsid w:val="00E952CD"/>
    <w:rsid w:val="00E957E5"/>
    <w:rsid w:val="00E95864"/>
    <w:rsid w:val="00E95917"/>
    <w:rsid w:val="00E95BA4"/>
    <w:rsid w:val="00E966E0"/>
    <w:rsid w:val="00E96A81"/>
    <w:rsid w:val="00E96DA3"/>
    <w:rsid w:val="00E97451"/>
    <w:rsid w:val="00EA0BF4"/>
    <w:rsid w:val="00EA123E"/>
    <w:rsid w:val="00EA1700"/>
    <w:rsid w:val="00EA1ABD"/>
    <w:rsid w:val="00EA2820"/>
    <w:rsid w:val="00EA53F8"/>
    <w:rsid w:val="00EA5B77"/>
    <w:rsid w:val="00EA5D69"/>
    <w:rsid w:val="00EA77E7"/>
    <w:rsid w:val="00EB0361"/>
    <w:rsid w:val="00EB2F15"/>
    <w:rsid w:val="00EB315C"/>
    <w:rsid w:val="00EB4B97"/>
    <w:rsid w:val="00EB518C"/>
    <w:rsid w:val="00EB76F9"/>
    <w:rsid w:val="00EC136D"/>
    <w:rsid w:val="00EC19B8"/>
    <w:rsid w:val="00EC19C2"/>
    <w:rsid w:val="00EC215F"/>
    <w:rsid w:val="00EC262E"/>
    <w:rsid w:val="00EC2BB5"/>
    <w:rsid w:val="00EC4473"/>
    <w:rsid w:val="00EC4B1F"/>
    <w:rsid w:val="00EC5A15"/>
    <w:rsid w:val="00EC6656"/>
    <w:rsid w:val="00EC7443"/>
    <w:rsid w:val="00EC79C4"/>
    <w:rsid w:val="00EC7E71"/>
    <w:rsid w:val="00ED064C"/>
    <w:rsid w:val="00ED1814"/>
    <w:rsid w:val="00ED1E24"/>
    <w:rsid w:val="00ED1F27"/>
    <w:rsid w:val="00ED22E0"/>
    <w:rsid w:val="00ED33FE"/>
    <w:rsid w:val="00ED377B"/>
    <w:rsid w:val="00ED3F5D"/>
    <w:rsid w:val="00ED5ECB"/>
    <w:rsid w:val="00ED60BB"/>
    <w:rsid w:val="00ED6B00"/>
    <w:rsid w:val="00ED6E0A"/>
    <w:rsid w:val="00ED7530"/>
    <w:rsid w:val="00EE1AE9"/>
    <w:rsid w:val="00EE1E93"/>
    <w:rsid w:val="00EE1FC8"/>
    <w:rsid w:val="00EE2093"/>
    <w:rsid w:val="00EE2EAA"/>
    <w:rsid w:val="00EE39FE"/>
    <w:rsid w:val="00EE4108"/>
    <w:rsid w:val="00EE42F2"/>
    <w:rsid w:val="00EE4A4E"/>
    <w:rsid w:val="00EF0470"/>
    <w:rsid w:val="00EF080C"/>
    <w:rsid w:val="00EF17CC"/>
    <w:rsid w:val="00EF1EA0"/>
    <w:rsid w:val="00EF1F81"/>
    <w:rsid w:val="00EF2AFE"/>
    <w:rsid w:val="00EF3958"/>
    <w:rsid w:val="00EF4B33"/>
    <w:rsid w:val="00EF4D01"/>
    <w:rsid w:val="00EF65BC"/>
    <w:rsid w:val="00EF7CF6"/>
    <w:rsid w:val="00F00212"/>
    <w:rsid w:val="00F007C3"/>
    <w:rsid w:val="00F00DF4"/>
    <w:rsid w:val="00F01694"/>
    <w:rsid w:val="00F01C0E"/>
    <w:rsid w:val="00F02CE5"/>
    <w:rsid w:val="00F03378"/>
    <w:rsid w:val="00F03381"/>
    <w:rsid w:val="00F03B66"/>
    <w:rsid w:val="00F04446"/>
    <w:rsid w:val="00F048D9"/>
    <w:rsid w:val="00F04CE9"/>
    <w:rsid w:val="00F064E9"/>
    <w:rsid w:val="00F068DD"/>
    <w:rsid w:val="00F06EF9"/>
    <w:rsid w:val="00F10D7F"/>
    <w:rsid w:val="00F11856"/>
    <w:rsid w:val="00F13732"/>
    <w:rsid w:val="00F14235"/>
    <w:rsid w:val="00F1482D"/>
    <w:rsid w:val="00F16624"/>
    <w:rsid w:val="00F167F3"/>
    <w:rsid w:val="00F16D3D"/>
    <w:rsid w:val="00F17152"/>
    <w:rsid w:val="00F176F7"/>
    <w:rsid w:val="00F20CCC"/>
    <w:rsid w:val="00F21262"/>
    <w:rsid w:val="00F21623"/>
    <w:rsid w:val="00F21EF5"/>
    <w:rsid w:val="00F236E4"/>
    <w:rsid w:val="00F23D08"/>
    <w:rsid w:val="00F2414B"/>
    <w:rsid w:val="00F2501C"/>
    <w:rsid w:val="00F27469"/>
    <w:rsid w:val="00F27C07"/>
    <w:rsid w:val="00F3006A"/>
    <w:rsid w:val="00F30816"/>
    <w:rsid w:val="00F3103B"/>
    <w:rsid w:val="00F312B2"/>
    <w:rsid w:val="00F327F4"/>
    <w:rsid w:val="00F3469B"/>
    <w:rsid w:val="00F34B62"/>
    <w:rsid w:val="00F34F87"/>
    <w:rsid w:val="00F357CF"/>
    <w:rsid w:val="00F35802"/>
    <w:rsid w:val="00F3676A"/>
    <w:rsid w:val="00F36924"/>
    <w:rsid w:val="00F36A44"/>
    <w:rsid w:val="00F36F11"/>
    <w:rsid w:val="00F373E6"/>
    <w:rsid w:val="00F3771F"/>
    <w:rsid w:val="00F37BD1"/>
    <w:rsid w:val="00F40C66"/>
    <w:rsid w:val="00F4134C"/>
    <w:rsid w:val="00F41BE6"/>
    <w:rsid w:val="00F41C5A"/>
    <w:rsid w:val="00F42047"/>
    <w:rsid w:val="00F423E5"/>
    <w:rsid w:val="00F42550"/>
    <w:rsid w:val="00F43BB1"/>
    <w:rsid w:val="00F43CF4"/>
    <w:rsid w:val="00F43D29"/>
    <w:rsid w:val="00F4402F"/>
    <w:rsid w:val="00F443A0"/>
    <w:rsid w:val="00F45C67"/>
    <w:rsid w:val="00F45D56"/>
    <w:rsid w:val="00F46E36"/>
    <w:rsid w:val="00F473BA"/>
    <w:rsid w:val="00F476DE"/>
    <w:rsid w:val="00F47B46"/>
    <w:rsid w:val="00F503EA"/>
    <w:rsid w:val="00F50BAE"/>
    <w:rsid w:val="00F50C40"/>
    <w:rsid w:val="00F51A1F"/>
    <w:rsid w:val="00F5308C"/>
    <w:rsid w:val="00F547BE"/>
    <w:rsid w:val="00F5691B"/>
    <w:rsid w:val="00F56DCC"/>
    <w:rsid w:val="00F56E85"/>
    <w:rsid w:val="00F57522"/>
    <w:rsid w:val="00F57618"/>
    <w:rsid w:val="00F609C4"/>
    <w:rsid w:val="00F6134B"/>
    <w:rsid w:val="00F6199B"/>
    <w:rsid w:val="00F6211E"/>
    <w:rsid w:val="00F62AD5"/>
    <w:rsid w:val="00F62E4F"/>
    <w:rsid w:val="00F63AC2"/>
    <w:rsid w:val="00F64631"/>
    <w:rsid w:val="00F65021"/>
    <w:rsid w:val="00F65837"/>
    <w:rsid w:val="00F66527"/>
    <w:rsid w:val="00F67018"/>
    <w:rsid w:val="00F673ED"/>
    <w:rsid w:val="00F674DF"/>
    <w:rsid w:val="00F704D4"/>
    <w:rsid w:val="00F7052C"/>
    <w:rsid w:val="00F70DD1"/>
    <w:rsid w:val="00F7289B"/>
    <w:rsid w:val="00F72E5A"/>
    <w:rsid w:val="00F73289"/>
    <w:rsid w:val="00F734E1"/>
    <w:rsid w:val="00F75AEF"/>
    <w:rsid w:val="00F7792E"/>
    <w:rsid w:val="00F8016A"/>
    <w:rsid w:val="00F80522"/>
    <w:rsid w:val="00F812CE"/>
    <w:rsid w:val="00F830D5"/>
    <w:rsid w:val="00F83FA3"/>
    <w:rsid w:val="00F84171"/>
    <w:rsid w:val="00F84392"/>
    <w:rsid w:val="00F845F8"/>
    <w:rsid w:val="00F86874"/>
    <w:rsid w:val="00F86E65"/>
    <w:rsid w:val="00F8747C"/>
    <w:rsid w:val="00F91ED0"/>
    <w:rsid w:val="00F92C0C"/>
    <w:rsid w:val="00F93613"/>
    <w:rsid w:val="00F93F65"/>
    <w:rsid w:val="00F9440A"/>
    <w:rsid w:val="00F94BFB"/>
    <w:rsid w:val="00F94DD2"/>
    <w:rsid w:val="00F96D25"/>
    <w:rsid w:val="00F96E5A"/>
    <w:rsid w:val="00F975D9"/>
    <w:rsid w:val="00FA0FE7"/>
    <w:rsid w:val="00FA1287"/>
    <w:rsid w:val="00FA17C4"/>
    <w:rsid w:val="00FA17DD"/>
    <w:rsid w:val="00FA2CF3"/>
    <w:rsid w:val="00FA3D3A"/>
    <w:rsid w:val="00FA4189"/>
    <w:rsid w:val="00FA61E1"/>
    <w:rsid w:val="00FA729F"/>
    <w:rsid w:val="00FA7B40"/>
    <w:rsid w:val="00FA7B9C"/>
    <w:rsid w:val="00FA7CDD"/>
    <w:rsid w:val="00FB3704"/>
    <w:rsid w:val="00FB39B6"/>
    <w:rsid w:val="00FB42EA"/>
    <w:rsid w:val="00FB46A5"/>
    <w:rsid w:val="00FB55BF"/>
    <w:rsid w:val="00FB73FC"/>
    <w:rsid w:val="00FC01A1"/>
    <w:rsid w:val="00FC073C"/>
    <w:rsid w:val="00FC116D"/>
    <w:rsid w:val="00FC1A91"/>
    <w:rsid w:val="00FC278A"/>
    <w:rsid w:val="00FC41BE"/>
    <w:rsid w:val="00FC487F"/>
    <w:rsid w:val="00FC540D"/>
    <w:rsid w:val="00FC65C3"/>
    <w:rsid w:val="00FC7F33"/>
    <w:rsid w:val="00FD05D4"/>
    <w:rsid w:val="00FD0A76"/>
    <w:rsid w:val="00FD19E8"/>
    <w:rsid w:val="00FD2184"/>
    <w:rsid w:val="00FD3DF8"/>
    <w:rsid w:val="00FD3F11"/>
    <w:rsid w:val="00FD4923"/>
    <w:rsid w:val="00FD5B7B"/>
    <w:rsid w:val="00FD730C"/>
    <w:rsid w:val="00FD76DC"/>
    <w:rsid w:val="00FD7D9B"/>
    <w:rsid w:val="00FD7EF2"/>
    <w:rsid w:val="00FE07D8"/>
    <w:rsid w:val="00FE0BC9"/>
    <w:rsid w:val="00FE0CCC"/>
    <w:rsid w:val="00FE1EDE"/>
    <w:rsid w:val="00FE2045"/>
    <w:rsid w:val="00FE26D4"/>
    <w:rsid w:val="00FE3C42"/>
    <w:rsid w:val="00FE3CA6"/>
    <w:rsid w:val="00FE4132"/>
    <w:rsid w:val="00FE444B"/>
    <w:rsid w:val="00FE4471"/>
    <w:rsid w:val="00FE4A87"/>
    <w:rsid w:val="00FE5CD6"/>
    <w:rsid w:val="00FE6EFA"/>
    <w:rsid w:val="00FE6F4C"/>
    <w:rsid w:val="00FE7659"/>
    <w:rsid w:val="00FE76F1"/>
    <w:rsid w:val="00FF009A"/>
    <w:rsid w:val="00FF079D"/>
    <w:rsid w:val="00FF0E75"/>
    <w:rsid w:val="00FF3EBB"/>
    <w:rsid w:val="00FF546B"/>
    <w:rsid w:val="00FF679A"/>
    <w:rsid w:val="00FF725F"/>
    <w:rsid w:val="00FF76DF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E5F4CA-4F85-4AA6-BB56-149F8781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2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0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7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70120"/>
    <w:pPr>
      <w:overflowPunct/>
      <w:autoSpaceDE/>
      <w:autoSpaceDN/>
      <w:adjustRightInd/>
      <w:spacing w:before="120" w:after="120"/>
      <w:textAlignment w:val="auto"/>
      <w:outlineLvl w:val="3"/>
    </w:pPr>
    <w:rPr>
      <w:b w:val="0"/>
      <w:bCs w:val="0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1B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81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87082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0824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870824"/>
    <w:rPr>
      <w:rFonts w:ascii="Calibri" w:hAnsi="Calibri" w:cs="Calibri"/>
      <w:sz w:val="24"/>
      <w:szCs w:val="24"/>
    </w:rPr>
  </w:style>
  <w:style w:type="paragraph" w:customStyle="1" w:styleId="11">
    <w:name w:val="Знак1"/>
    <w:basedOn w:val="a"/>
    <w:uiPriority w:val="99"/>
    <w:rsid w:val="00A7012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aliases w:val="Надин стиль"/>
    <w:basedOn w:val="a"/>
    <w:link w:val="a4"/>
    <w:rsid w:val="00A70120"/>
    <w:pPr>
      <w:ind w:firstLine="851"/>
      <w:jc w:val="center"/>
    </w:pPr>
    <w:rPr>
      <w:b/>
      <w:bCs/>
    </w:rPr>
  </w:style>
  <w:style w:type="character" w:customStyle="1" w:styleId="a4">
    <w:name w:val="Основной текст с отступом Знак"/>
    <w:aliases w:val="Надин стиль Знак"/>
    <w:link w:val="a3"/>
    <w:locked/>
    <w:rsid w:val="00F70DD1"/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A70120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A70120"/>
    <w:rPr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A701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C53813"/>
    <w:rPr>
      <w:sz w:val="28"/>
      <w:szCs w:val="28"/>
    </w:rPr>
  </w:style>
  <w:style w:type="paragraph" w:customStyle="1" w:styleId="e1">
    <w:name w:val="Кeбычный1"/>
    <w:uiPriority w:val="99"/>
    <w:rsid w:val="00A70120"/>
    <w:pPr>
      <w:widowControl w:val="0"/>
    </w:pPr>
  </w:style>
  <w:style w:type="paragraph" w:customStyle="1" w:styleId="21">
    <w:name w:val="Основной текст с отступом 21"/>
    <w:basedOn w:val="a"/>
    <w:uiPriority w:val="99"/>
    <w:rsid w:val="00A70120"/>
    <w:pPr>
      <w:overflowPunct/>
      <w:autoSpaceDE/>
      <w:autoSpaceDN/>
      <w:adjustRightInd/>
      <w:ind w:firstLine="851"/>
      <w:jc w:val="both"/>
      <w:textAlignment w:val="auto"/>
    </w:pPr>
  </w:style>
  <w:style w:type="paragraph" w:styleId="a7">
    <w:name w:val="footnote text"/>
    <w:basedOn w:val="a"/>
    <w:link w:val="a8"/>
    <w:uiPriority w:val="99"/>
    <w:semiHidden/>
    <w:rsid w:val="00A7012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70824"/>
    <w:rPr>
      <w:sz w:val="20"/>
      <w:szCs w:val="20"/>
    </w:rPr>
  </w:style>
  <w:style w:type="character" w:styleId="a9">
    <w:name w:val="footnote reference"/>
    <w:uiPriority w:val="99"/>
    <w:semiHidden/>
    <w:rsid w:val="00A70120"/>
    <w:rPr>
      <w:vertAlign w:val="superscript"/>
    </w:rPr>
  </w:style>
  <w:style w:type="paragraph" w:styleId="aa">
    <w:name w:val="Body Text"/>
    <w:basedOn w:val="a"/>
    <w:link w:val="ab"/>
    <w:uiPriority w:val="99"/>
    <w:rsid w:val="0036368C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C53813"/>
    <w:rPr>
      <w:sz w:val="28"/>
      <w:szCs w:val="28"/>
    </w:rPr>
  </w:style>
  <w:style w:type="paragraph" w:customStyle="1" w:styleId="110">
    <w:name w:val="Знак11"/>
    <w:basedOn w:val="a"/>
    <w:uiPriority w:val="99"/>
    <w:rsid w:val="00AB12A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3301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0824"/>
    <w:rPr>
      <w:sz w:val="16"/>
      <w:szCs w:val="16"/>
    </w:rPr>
  </w:style>
  <w:style w:type="paragraph" w:customStyle="1" w:styleId="12">
    <w:name w:val="Обычный1"/>
    <w:uiPriority w:val="99"/>
    <w:rsid w:val="003301B7"/>
    <w:rPr>
      <w:sz w:val="28"/>
      <w:szCs w:val="28"/>
    </w:rPr>
  </w:style>
  <w:style w:type="paragraph" w:customStyle="1" w:styleId="ConsNormal">
    <w:name w:val="ConsNormal"/>
    <w:uiPriority w:val="99"/>
    <w:rsid w:val="003301B7"/>
    <w:pPr>
      <w:widowControl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70824"/>
    <w:rPr>
      <w:sz w:val="28"/>
      <w:szCs w:val="28"/>
    </w:rPr>
  </w:style>
  <w:style w:type="character" w:styleId="ae">
    <w:name w:val="page number"/>
    <w:basedOn w:val="a0"/>
    <w:uiPriority w:val="99"/>
    <w:rsid w:val="003301B7"/>
  </w:style>
  <w:style w:type="paragraph" w:customStyle="1" w:styleId="ConsPlusNonformat">
    <w:name w:val="ConsPlusNonformat"/>
    <w:uiPriority w:val="99"/>
    <w:rsid w:val="00330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301B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3301B7"/>
    <w:pPr>
      <w:overflowPunct/>
      <w:autoSpaceDE/>
      <w:autoSpaceDN/>
      <w:adjustRightInd/>
      <w:spacing w:before="100" w:beforeAutospacing="1" w:after="100" w:afterAutospacing="1"/>
      <w:ind w:left="100" w:right="100"/>
      <w:textAlignment w:val="auto"/>
    </w:pPr>
    <w:rPr>
      <w:sz w:val="24"/>
      <w:szCs w:val="24"/>
    </w:rPr>
  </w:style>
  <w:style w:type="paragraph" w:customStyle="1" w:styleId="af0">
    <w:name w:val="Текст (лев. подпись)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3301B7"/>
    <w:pPr>
      <w:overflowPunct/>
      <w:jc w:val="right"/>
      <w:textAlignment w:val="auto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330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870824"/>
    <w:rPr>
      <w:sz w:val="28"/>
      <w:szCs w:val="28"/>
    </w:rPr>
  </w:style>
  <w:style w:type="paragraph" w:customStyle="1" w:styleId="text">
    <w:name w:val="text"/>
    <w:basedOn w:val="a"/>
    <w:uiPriority w:val="99"/>
    <w:rsid w:val="003301B7"/>
    <w:pPr>
      <w:overflowPunct/>
      <w:autoSpaceDE/>
      <w:autoSpaceDN/>
      <w:adjustRightInd/>
      <w:ind w:firstLine="450"/>
      <w:jc w:val="both"/>
      <w:textAlignment w:val="auto"/>
    </w:pPr>
    <w:rPr>
      <w:rFonts w:ascii="Arial" w:hAnsi="Arial" w:cs="Arial"/>
      <w:color w:val="FFFFFF"/>
      <w:sz w:val="20"/>
      <w:szCs w:val="20"/>
    </w:rPr>
  </w:style>
  <w:style w:type="paragraph" w:customStyle="1" w:styleId="13">
    <w:name w:val="Основной текст с отступом1"/>
    <w:basedOn w:val="a"/>
    <w:uiPriority w:val="99"/>
    <w:rsid w:val="003301B7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styleId="af5">
    <w:name w:val="Hyperlink"/>
    <w:uiPriority w:val="99"/>
    <w:rsid w:val="003301B7"/>
    <w:rPr>
      <w:color w:val="0000FF"/>
      <w:u w:val="single"/>
    </w:rPr>
  </w:style>
  <w:style w:type="paragraph" w:customStyle="1" w:styleId="af6">
    <w:name w:val="Знак"/>
    <w:basedOn w:val="a"/>
    <w:uiPriority w:val="99"/>
    <w:rsid w:val="003301B7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szCs w:val="20"/>
      <w:lang w:val="en-GB" w:eastAsia="en-US"/>
    </w:rPr>
  </w:style>
  <w:style w:type="paragraph" w:customStyle="1" w:styleId="af7">
    <w:name w:val="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Таблица"/>
    <w:basedOn w:val="af9"/>
    <w:uiPriority w:val="99"/>
    <w:rsid w:val="003301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spacing w:line="220" w:lineRule="exact"/>
      <w:ind w:left="0" w:firstLine="0"/>
      <w:textAlignment w:val="auto"/>
    </w:pPr>
    <w:rPr>
      <w:sz w:val="20"/>
      <w:szCs w:val="20"/>
    </w:rPr>
  </w:style>
  <w:style w:type="paragraph" w:styleId="af9">
    <w:name w:val="Message Header"/>
    <w:basedOn w:val="a"/>
    <w:link w:val="afa"/>
    <w:uiPriority w:val="99"/>
    <w:rsid w:val="003301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a">
    <w:name w:val="Шапка Знак"/>
    <w:link w:val="af9"/>
    <w:uiPriority w:val="99"/>
    <w:semiHidden/>
    <w:locked/>
    <w:rsid w:val="003301B7"/>
    <w:rPr>
      <w:rFonts w:ascii="Arial" w:hAnsi="Arial" w:cs="Arial"/>
      <w:sz w:val="24"/>
      <w:szCs w:val="24"/>
      <w:lang w:val="ru-RU" w:eastAsia="ru-RU"/>
    </w:rPr>
  </w:style>
  <w:style w:type="paragraph" w:customStyle="1" w:styleId="afb">
    <w:name w:val="Таблотст"/>
    <w:basedOn w:val="af8"/>
    <w:uiPriority w:val="99"/>
    <w:rsid w:val="003301B7"/>
    <w:pPr>
      <w:ind w:left="85"/>
    </w:pPr>
  </w:style>
  <w:style w:type="paragraph" w:customStyle="1" w:styleId="CharChar">
    <w:name w:val="Char Char 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Таблотст2"/>
    <w:basedOn w:val="af8"/>
    <w:uiPriority w:val="99"/>
    <w:rsid w:val="003301B7"/>
    <w:pPr>
      <w:ind w:left="170"/>
    </w:pPr>
  </w:style>
  <w:style w:type="paragraph" w:customStyle="1" w:styleId="23">
    <w:name w:val="Знак2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3301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870824"/>
    <w:rPr>
      <w:sz w:val="16"/>
      <w:szCs w:val="16"/>
    </w:rPr>
  </w:style>
  <w:style w:type="paragraph" w:styleId="afc">
    <w:name w:val="Plain Text"/>
    <w:basedOn w:val="a"/>
    <w:link w:val="afd"/>
    <w:uiPriority w:val="99"/>
    <w:rsid w:val="003301B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uiPriority w:val="99"/>
    <w:semiHidden/>
    <w:locked/>
    <w:rsid w:val="00870824"/>
    <w:rPr>
      <w:rFonts w:ascii="Courier New" w:hAnsi="Courier New" w:cs="Courier New"/>
      <w:sz w:val="20"/>
      <w:szCs w:val="20"/>
    </w:rPr>
  </w:style>
  <w:style w:type="paragraph" w:customStyle="1" w:styleId="afe">
    <w:name w:val="Знак Знак Знак Знак Знак Знак Знак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table" w:styleId="aff">
    <w:name w:val="Table Grid"/>
    <w:basedOn w:val="a1"/>
    <w:uiPriority w:val="59"/>
    <w:rsid w:val="00087AA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a"/>
    <w:uiPriority w:val="99"/>
    <w:rsid w:val="009F146D"/>
    <w:pPr>
      <w:jc w:val="center"/>
      <w:textAlignment w:val="auto"/>
    </w:pPr>
    <w:rPr>
      <w:b/>
      <w:bCs/>
    </w:rPr>
  </w:style>
  <w:style w:type="paragraph" w:styleId="aff0">
    <w:name w:val="List Paragraph"/>
    <w:basedOn w:val="a"/>
    <w:uiPriority w:val="34"/>
    <w:qFormat/>
    <w:rsid w:val="00926181"/>
    <w:pPr>
      <w:ind w:left="720"/>
    </w:pPr>
  </w:style>
  <w:style w:type="character" w:customStyle="1" w:styleId="apple-converted-space">
    <w:name w:val="apple-converted-space"/>
    <w:basedOn w:val="a0"/>
    <w:rsid w:val="00C53813"/>
  </w:style>
  <w:style w:type="paragraph" w:customStyle="1" w:styleId="Default">
    <w:name w:val="Default"/>
    <w:rsid w:val="00F369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FB73F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FB73FC"/>
    <w:rPr>
      <w:rFonts w:ascii="Tahoma" w:hAnsi="Tahoma" w:cs="Tahoma"/>
      <w:sz w:val="16"/>
      <w:szCs w:val="16"/>
    </w:rPr>
  </w:style>
  <w:style w:type="paragraph" w:styleId="aff3">
    <w:name w:val="Subtitle"/>
    <w:basedOn w:val="a"/>
    <w:next w:val="a"/>
    <w:link w:val="aff4"/>
    <w:qFormat/>
    <w:locked/>
    <w:rsid w:val="000677C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rsid w:val="000677C1"/>
    <w:rPr>
      <w:rFonts w:ascii="Cambria" w:eastAsia="Times New Roman" w:hAnsi="Cambria" w:cs="Times New Roman"/>
      <w:sz w:val="24"/>
      <w:szCs w:val="24"/>
    </w:rPr>
  </w:style>
  <w:style w:type="paragraph" w:styleId="aff5">
    <w:name w:val="No Spacing"/>
    <w:uiPriority w:val="1"/>
    <w:qFormat/>
    <w:rsid w:val="00A90C84"/>
  </w:style>
  <w:style w:type="character" w:styleId="aff6">
    <w:name w:val="Book Title"/>
    <w:basedOn w:val="a0"/>
    <w:uiPriority w:val="99"/>
    <w:qFormat/>
    <w:rsid w:val="00A90C84"/>
    <w:rPr>
      <w:rFonts w:cs="Times New Roman"/>
      <w:b/>
      <w:bCs/>
      <w:smallCaps/>
      <w:spacing w:val="5"/>
    </w:rPr>
  </w:style>
  <w:style w:type="paragraph" w:styleId="24">
    <w:name w:val="Body Text 2"/>
    <w:basedOn w:val="a"/>
    <w:link w:val="25"/>
    <w:rsid w:val="00187C82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87C82"/>
    <w:rPr>
      <w:sz w:val="24"/>
      <w:szCs w:val="24"/>
    </w:rPr>
  </w:style>
  <w:style w:type="character" w:styleId="aff7">
    <w:name w:val="Strong"/>
    <w:basedOn w:val="a0"/>
    <w:qFormat/>
    <w:locked/>
    <w:rsid w:val="00F21262"/>
    <w:rPr>
      <w:b/>
      <w:bCs/>
    </w:rPr>
  </w:style>
  <w:style w:type="character" w:customStyle="1" w:styleId="markedcontent">
    <w:name w:val="markedcontent"/>
    <w:basedOn w:val="a0"/>
    <w:rsid w:val="00345494"/>
  </w:style>
  <w:style w:type="paragraph" w:customStyle="1" w:styleId="TableContents">
    <w:name w:val="Table Contents"/>
    <w:basedOn w:val="a"/>
    <w:rsid w:val="00040BB8"/>
    <w:pPr>
      <w:widowControl w:val="0"/>
      <w:suppressLineNumbers/>
      <w:suppressAutoHyphens/>
      <w:overflowPunct/>
      <w:autoSpaceDE/>
      <w:adjustRightInd/>
    </w:pPr>
    <w:rPr>
      <w:rFonts w:eastAsia="Andale Sans UI" w:cs="Tahoma"/>
      <w:kern w:val="3"/>
      <w:sz w:val="24"/>
      <w:szCs w:val="24"/>
      <w:lang w:eastAsia="zh-CN" w:bidi="hi-IN"/>
    </w:rPr>
  </w:style>
  <w:style w:type="character" w:customStyle="1" w:styleId="extended-textshort">
    <w:name w:val="extended-text__short"/>
    <w:basedOn w:val="a0"/>
    <w:rsid w:val="0092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view3D>
      <c:rotX val="15"/>
      <c:rotY val="20"/>
      <c:rAngAx val="1"/>
    </c:view3D>
    <c:floor>
      <c:thickness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floor>
    <c:sideWall>
      <c:thickness val="0"/>
      <c:spPr>
        <a:solidFill>
          <a:schemeClr val="accent1">
            <a:lumMod val="20000"/>
            <a:lumOff val="80000"/>
          </a:schemeClr>
        </a:solidFill>
        <a:ln>
          <a:solidFill>
            <a:schemeClr val="tx2">
              <a:lumMod val="20000"/>
              <a:lumOff val="80000"/>
            </a:schemeClr>
          </a:solidFill>
        </a:ln>
      </c:spPr>
    </c:sideWall>
    <c:backWall>
      <c:thickness val="0"/>
      <c:spPr>
        <a:solidFill>
          <a:schemeClr val="accent1">
            <a:lumMod val="20000"/>
            <a:lumOff val="80000"/>
          </a:schemeClr>
        </a:solidFill>
        <a:ln>
          <a:solidFill>
            <a:schemeClr val="tx2">
              <a:lumMod val="20000"/>
              <a:lumOff val="80000"/>
            </a:schemeClr>
          </a:solidFill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2.4979185651011652E-2"/>
                  <c:y val="-0.202479338842980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285721450423907E-2"/>
                  <c:y val="-0.153676690198207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Доходы бюджета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60253973.470000006</c:v>
                </c:pt>
                <c:pt idx="1">
                  <c:v>63586527.920000002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-2008403312"/>
        <c:axId val="-2008395696"/>
        <c:axId val="0"/>
      </c:bar3DChart>
      <c:catAx>
        <c:axId val="-2008403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08395696"/>
        <c:crosses val="autoZero"/>
        <c:auto val="1"/>
        <c:lblAlgn val="ctr"/>
        <c:lblOffset val="100"/>
        <c:noMultiLvlLbl val="0"/>
      </c:catAx>
      <c:valAx>
        <c:axId val="-200839569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-2008403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049766680904924"/>
          <c:y val="1.6439935888507781E-2"/>
          <c:w val="0.78950232395823605"/>
          <c:h val="0.567482685783682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 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bg1"/>
              </a:solidFill>
            </a:ln>
          </c:spPr>
          <c:invertIfNegative val="0"/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 с применением УСН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Государственная пошлина</c:v>
                </c:pt>
                <c:pt idx="7">
                  <c:v>Доходы от использования имущества, находящегося в государственной и муниципальной собственности</c:v>
                </c:pt>
                <c:pt idx="8">
                  <c:v>Доходы от продажи материальных и неатериальных активов </c:v>
                </c:pt>
                <c:pt idx="9">
                  <c:v>Штрафы, санкции, возмещение ущерба</c:v>
                </c:pt>
              </c:strCache>
            </c:strRef>
          </c:cat>
          <c:val>
            <c:numRef>
              <c:f>Лист1!$B$2:$B$11</c:f>
              <c:numCache>
                <c:formatCode>#,##0.00</c:formatCode>
                <c:ptCount val="10"/>
                <c:pt idx="0" formatCode="0.00">
                  <c:v>26891000</c:v>
                </c:pt>
                <c:pt idx="1">
                  <c:v>11975000</c:v>
                </c:pt>
                <c:pt idx="2">
                  <c:v>3160000</c:v>
                </c:pt>
                <c:pt idx="3">
                  <c:v>943000</c:v>
                </c:pt>
                <c:pt idx="4">
                  <c:v>2085000</c:v>
                </c:pt>
                <c:pt idx="5">
                  <c:v>7339000</c:v>
                </c:pt>
                <c:pt idx="6" formatCode="0.00">
                  <c:v>3000</c:v>
                </c:pt>
                <c:pt idx="7">
                  <c:v>40000</c:v>
                </c:pt>
                <c:pt idx="8" formatCode="0.00">
                  <c:v>0</c:v>
                </c:pt>
                <c:pt idx="9" formatCode="0.0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01.07.2024г.</c:v>
                </c:pt>
              </c:strCache>
            </c:strRef>
          </c:tx>
          <c:spPr>
            <a:solidFill>
              <a:srgbClr val="7030A0">
                <a:alpha val="98824"/>
              </a:srgbClr>
            </a:solidFill>
            <a:ln>
              <a:solidFill>
                <a:schemeClr val="bg1"/>
              </a:solidFill>
            </a:ln>
          </c:spPr>
          <c:invertIfNegative val="0"/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 с применением УСН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Государственная пошлина</c:v>
                </c:pt>
                <c:pt idx="7">
                  <c:v>Доходы от использования имущества, находящегося в государственной и муниципальной собственности</c:v>
                </c:pt>
                <c:pt idx="8">
                  <c:v>Доходы от продажи материальных и неатериальных активов </c:v>
                </c:pt>
                <c:pt idx="9">
                  <c:v>Штрафы, санкции, возмещение ущерба</c:v>
                </c:pt>
              </c:strCache>
            </c:strRef>
          </c:cat>
          <c:val>
            <c:numRef>
              <c:f>Лист1!$C$2:$C$11</c:f>
              <c:numCache>
                <c:formatCode>#,##0.00</c:formatCode>
                <c:ptCount val="10"/>
                <c:pt idx="0">
                  <c:v>12687630.53999999</c:v>
                </c:pt>
                <c:pt idx="1">
                  <c:v>5761339.9400000004</c:v>
                </c:pt>
                <c:pt idx="2">
                  <c:v>1911086.9</c:v>
                </c:pt>
                <c:pt idx="3">
                  <c:v>508470</c:v>
                </c:pt>
                <c:pt idx="4">
                  <c:v>351131.12</c:v>
                </c:pt>
                <c:pt idx="5">
                  <c:v>0</c:v>
                </c:pt>
                <c:pt idx="6">
                  <c:v>1248</c:v>
                </c:pt>
                <c:pt idx="7">
                  <c:v>81189.009999999995</c:v>
                </c:pt>
                <c:pt idx="8">
                  <c:v>1999209</c:v>
                </c:pt>
                <c:pt idx="9">
                  <c:v>2000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-2008402224"/>
        <c:axId val="-2008394608"/>
        <c:axId val="0"/>
      </c:bar3DChart>
      <c:catAx>
        <c:axId val="-2008402224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1"/>
        <c:majorTickMark val="none"/>
        <c:minorTickMark val="none"/>
        <c:tickLblPos val="nextTo"/>
        <c:crossAx val="-2008394608"/>
        <c:crosses val="autoZero"/>
        <c:auto val="1"/>
        <c:lblAlgn val="ctr"/>
        <c:lblOffset val="100"/>
        <c:noMultiLvlLbl val="0"/>
      </c:catAx>
      <c:valAx>
        <c:axId val="-2008394608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-200840222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73575346375388"/>
          <c:y val="0.11755614239800202"/>
          <c:w val="0.78950232395823561"/>
          <c:h val="0.53082270950450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 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bg2">
                  <a:lumMod val="25000"/>
                </a:schemeClr>
              </a:solidFill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Физическая культура 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 formatCode="0.00">
                  <c:v>14517029</c:v>
                </c:pt>
                <c:pt idx="1">
                  <c:v>2472500</c:v>
                </c:pt>
                <c:pt idx="2">
                  <c:v>51919351</c:v>
                </c:pt>
                <c:pt idx="3">
                  <c:v>44377766.520000003</c:v>
                </c:pt>
                <c:pt idx="4">
                  <c:v>40189100</c:v>
                </c:pt>
                <c:pt idx="5">
                  <c:v>500000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01.07.2024г.</c:v>
                </c:pt>
              </c:strCache>
            </c:strRef>
          </c:tx>
          <c:spPr>
            <a:solidFill>
              <a:srgbClr val="FFFF00">
                <a:alpha val="98824"/>
              </a:srgbClr>
            </a:solid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Физическая культура </c:v>
                </c:pt>
              </c:strCache>
            </c:strRef>
          </c:cat>
          <c:val>
            <c:numRef>
              <c:f>Лист1!$C$2:$C$7</c:f>
              <c:numCache>
                <c:formatCode>#,##0.00</c:formatCode>
                <c:ptCount val="6"/>
                <c:pt idx="0">
                  <c:v>7305368.6000000006</c:v>
                </c:pt>
                <c:pt idx="1">
                  <c:v>1175122.1600000008</c:v>
                </c:pt>
                <c:pt idx="2">
                  <c:v>29995691.199999999</c:v>
                </c:pt>
                <c:pt idx="3">
                  <c:v>12075718.560000002</c:v>
                </c:pt>
                <c:pt idx="4">
                  <c:v>12845093.9</c:v>
                </c:pt>
                <c:pt idx="5">
                  <c:v>189533.5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-2008406032"/>
        <c:axId val="-2008398960"/>
        <c:axId val="0"/>
      </c:bar3DChart>
      <c:catAx>
        <c:axId val="-2008406032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0"/>
        <c:majorTickMark val="none"/>
        <c:minorTickMark val="none"/>
        <c:tickLblPos val="nextTo"/>
        <c:crossAx val="-2008398960"/>
        <c:crosses val="autoZero"/>
        <c:auto val="1"/>
        <c:lblAlgn val="ctr"/>
        <c:lblOffset val="100"/>
        <c:noMultiLvlLbl val="0"/>
      </c:catAx>
      <c:valAx>
        <c:axId val="-2008398960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-20084060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lnSpc>
                <a:spcPct val="100000"/>
              </a:lnSpc>
              <a:defRPr sz="1148"/>
            </a:pPr>
            <a:r>
              <a:rPr lang="ru-RU" sz="1174">
                <a:effectLst/>
              </a:rPr>
              <a:t>Структура расходов</a:t>
            </a:r>
          </a:p>
          <a:p>
            <a:pPr>
              <a:lnSpc>
                <a:spcPct val="100000"/>
              </a:lnSpc>
              <a:defRPr sz="1148"/>
            </a:pPr>
            <a:r>
              <a:rPr lang="ru-RU" sz="1174" i="1">
                <a:effectLst/>
              </a:rPr>
              <a:t>(в процентах от общего объема произведенных расходов)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8561472489018929"/>
          <c:y val="4.1765683426625434E-2"/>
        </c:manualLayout>
      </c:layout>
      <c:overlay val="0"/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61009992411514E-2"/>
          <c:y val="0.24341362728264371"/>
          <c:w val="0.89341689013570558"/>
          <c:h val="0.552654874352527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explosion val="7"/>
          <c:dPt>
            <c:idx val="0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solidFill>
                <a:srgbClr val="92D050"/>
              </a:solidFill>
              <a:ln w="12264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00206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4"/>
            <c:bubble3D val="0"/>
            <c:spPr>
              <a:solidFill>
                <a:srgbClr val="FFFF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5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-6.4549633339265389E-2"/>
                  <c:y val="-7.4556169615019693E-2"/>
                </c:manualLayout>
              </c:layout>
              <c:spPr>
                <a:solidFill>
                  <a:srgbClr val="FF0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5149249995772799E-2"/>
                  <c:y val="-0.26801211152764126"/>
                </c:manualLayout>
              </c:layout>
              <c:tx>
                <c:rich>
                  <a:bodyPr/>
                  <a:lstStyle/>
                  <a:p>
                    <a:pPr>
                      <a:defRPr sz="794"/>
                    </a:pPr>
                    <a:r>
                      <a:rPr lang="ru-RU" baseline="0"/>
                      <a:t>Национальная безопасность и правоохранительная деятельность </a:t>
                    </a:r>
                    <a:r>
                      <a:rPr lang="ru-RU"/>
                      <a:t>(1,8%)</a:t>
                    </a:r>
                  </a:p>
                </c:rich>
              </c:tx>
              <c:spPr>
                <a:solidFill>
                  <a:srgbClr val="92D050">
                    <a:alpha val="35000"/>
                  </a:srgbClr>
                </a:solidFill>
                <a:ln w="6128">
                  <a:prstDash val="solid"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43650498816972344"/>
                  <c:y val="8.6517052440958697E-2"/>
                </c:manualLayout>
              </c:layout>
              <c:spPr>
                <a:solidFill>
                  <a:srgbClr val="00206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6539564085312002E-2"/>
                  <c:y val="6.6687541358311564E-2"/>
                </c:manualLayout>
              </c:layout>
              <c:spPr>
                <a:solidFill>
                  <a:srgbClr val="FFC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506649748971795"/>
                  <c:y val="3.9508771708430507E-2"/>
                </c:manualLayout>
              </c:layout>
              <c:spPr>
                <a:solidFill>
                  <a:srgbClr val="FFFF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4004477977002188E-2"/>
                  <c:y val="9.0914540221771367E-2"/>
                </c:manualLayout>
              </c:layout>
              <c:spPr>
                <a:solidFill>
                  <a:srgbClr val="1F497D">
                    <a:lumMod val="40000"/>
                    <a:lumOff val="60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3156196917935123E-2"/>
                  <c:y val="-4.6243940955848523E-2"/>
                </c:manualLayout>
              </c:layout>
              <c:spPr/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502">
                <a:noFill/>
              </a:ln>
            </c:spPr>
            <c:txPr>
              <a:bodyPr/>
              <a:lstStyle/>
              <a:p>
                <a:pPr>
                  <a:defRPr sz="794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 (11,5%)</c:v>
                </c:pt>
                <c:pt idx="1">
                  <c:v>Национальная безопасность и правоохранительная деятельность (1,8%)</c:v>
                </c:pt>
                <c:pt idx="2">
                  <c:v>Национальная экономика (47,2%)</c:v>
                </c:pt>
                <c:pt idx="3">
                  <c:v>Жилищно-коммунальное хозяйство (19,0%)</c:v>
                </c:pt>
                <c:pt idx="4">
                  <c:v>Культура, кинематография (20,2%)</c:v>
                </c:pt>
                <c:pt idx="5">
                  <c:v>Физическая культура и спорт (0,3%)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11.5</c:v>
                </c:pt>
                <c:pt idx="1">
                  <c:v>1.8</c:v>
                </c:pt>
                <c:pt idx="2">
                  <c:v>47.2</c:v>
                </c:pt>
                <c:pt idx="3">
                  <c:v>19</c:v>
                </c:pt>
                <c:pt idx="4">
                  <c:v>20.2</c:v>
                </c:pt>
                <c:pt idx="5">
                  <c:v>0.30000000000000016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1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791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9C16-50DB-4024-A3C1-52C1D773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5228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Северный район</Company>
  <LinksUpToDate>false</LinksUpToDate>
  <CharactersWithSpaces>34965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_</dc:creator>
  <cp:lastModifiedBy>Пользователь Windows</cp:lastModifiedBy>
  <cp:revision>3</cp:revision>
  <cp:lastPrinted>2024-09-23T10:48:00Z</cp:lastPrinted>
  <dcterms:created xsi:type="dcterms:W3CDTF">2024-12-03T12:17:00Z</dcterms:created>
  <dcterms:modified xsi:type="dcterms:W3CDTF">2024-12-03T12:17:00Z</dcterms:modified>
</cp:coreProperties>
</file>