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44" w:rsidRPr="001B6244" w:rsidRDefault="001B6244" w:rsidP="001B6244">
      <w:pPr>
        <w:jc w:val="right"/>
        <w:rPr>
          <w:rFonts w:ascii="Times New Roman" w:hAnsi="Times New Roman"/>
          <w:sz w:val="28"/>
          <w:szCs w:val="28"/>
        </w:rPr>
      </w:pPr>
      <w:bookmarkStart w:id="0" w:name="_GoBack"/>
      <w:bookmarkEnd w:id="0"/>
      <w:r w:rsidRPr="001B6244">
        <w:rPr>
          <w:rFonts w:ascii="Times New Roman" w:hAnsi="Times New Roman"/>
          <w:sz w:val="28"/>
          <w:szCs w:val="28"/>
        </w:rPr>
        <w:t xml:space="preserve">Приложение </w:t>
      </w:r>
    </w:p>
    <w:p w:rsidR="001B6244" w:rsidRPr="001B6244" w:rsidRDefault="001B6244" w:rsidP="001B6244">
      <w:pPr>
        <w:jc w:val="right"/>
        <w:rPr>
          <w:rFonts w:ascii="Times New Roman" w:hAnsi="Times New Roman"/>
          <w:sz w:val="28"/>
          <w:szCs w:val="28"/>
        </w:rPr>
      </w:pPr>
      <w:r w:rsidRPr="001B6244">
        <w:rPr>
          <w:rFonts w:ascii="Times New Roman" w:hAnsi="Times New Roman"/>
          <w:sz w:val="28"/>
          <w:szCs w:val="28"/>
        </w:rPr>
        <w:t>к постановлению</w:t>
      </w:r>
      <w:r>
        <w:rPr>
          <w:rFonts w:ascii="Times New Roman" w:hAnsi="Times New Roman"/>
          <w:sz w:val="28"/>
          <w:szCs w:val="28"/>
        </w:rPr>
        <w:t xml:space="preserve"> </w:t>
      </w:r>
      <w:r w:rsidRPr="001B6244">
        <w:rPr>
          <w:rFonts w:ascii="Times New Roman" w:hAnsi="Times New Roman"/>
          <w:sz w:val="28"/>
          <w:szCs w:val="28"/>
        </w:rPr>
        <w:t>администрации</w:t>
      </w:r>
    </w:p>
    <w:p w:rsidR="001B6244" w:rsidRPr="001B6244" w:rsidRDefault="001B6244" w:rsidP="001B6244">
      <w:pPr>
        <w:jc w:val="right"/>
        <w:rPr>
          <w:rFonts w:ascii="Times New Roman" w:hAnsi="Times New Roman"/>
          <w:sz w:val="28"/>
          <w:szCs w:val="28"/>
        </w:rPr>
      </w:pPr>
      <w:r w:rsidRPr="001B6244">
        <w:rPr>
          <w:rFonts w:ascii="Times New Roman" w:hAnsi="Times New Roman"/>
          <w:sz w:val="28"/>
          <w:szCs w:val="28"/>
        </w:rPr>
        <w:t>муниципального образования</w:t>
      </w:r>
    </w:p>
    <w:p w:rsidR="001B6244" w:rsidRPr="001B6244" w:rsidRDefault="001B6244" w:rsidP="001B6244">
      <w:pPr>
        <w:jc w:val="right"/>
        <w:rPr>
          <w:rFonts w:ascii="Times New Roman" w:hAnsi="Times New Roman"/>
          <w:sz w:val="28"/>
          <w:szCs w:val="28"/>
        </w:rPr>
      </w:pPr>
      <w:r w:rsidRPr="001B6244">
        <w:rPr>
          <w:rFonts w:ascii="Times New Roman" w:hAnsi="Times New Roman"/>
          <w:sz w:val="28"/>
          <w:szCs w:val="28"/>
        </w:rPr>
        <w:t>Саракташский поссовет</w:t>
      </w:r>
    </w:p>
    <w:p w:rsidR="001B6244" w:rsidRPr="001B6244" w:rsidRDefault="001B6244" w:rsidP="001B6244">
      <w:pPr>
        <w:jc w:val="right"/>
        <w:rPr>
          <w:rFonts w:ascii="Times New Roman" w:hAnsi="Times New Roman"/>
          <w:sz w:val="28"/>
          <w:szCs w:val="28"/>
        </w:rPr>
      </w:pPr>
      <w:r w:rsidRPr="001B6244">
        <w:rPr>
          <w:rFonts w:ascii="Times New Roman" w:hAnsi="Times New Roman"/>
          <w:sz w:val="28"/>
          <w:szCs w:val="28"/>
        </w:rPr>
        <w:t xml:space="preserve">                                                                                    От</w:t>
      </w:r>
      <w:r>
        <w:rPr>
          <w:rFonts w:ascii="Times New Roman" w:hAnsi="Times New Roman"/>
          <w:sz w:val="28"/>
          <w:szCs w:val="28"/>
        </w:rPr>
        <w:t xml:space="preserve"> 15.11.2018</w:t>
      </w:r>
      <w:r w:rsidRPr="001B6244">
        <w:rPr>
          <w:rFonts w:ascii="Times New Roman" w:hAnsi="Times New Roman"/>
          <w:sz w:val="28"/>
          <w:szCs w:val="28"/>
        </w:rPr>
        <w:t xml:space="preserve"> г. № </w:t>
      </w:r>
      <w:r>
        <w:rPr>
          <w:rFonts w:ascii="Times New Roman" w:hAnsi="Times New Roman"/>
          <w:sz w:val="28"/>
          <w:szCs w:val="28"/>
        </w:rPr>
        <w:t>413-</w:t>
      </w:r>
      <w:r w:rsidRPr="001B6244">
        <w:rPr>
          <w:rFonts w:ascii="Times New Roman" w:hAnsi="Times New Roman"/>
          <w:sz w:val="28"/>
          <w:szCs w:val="28"/>
        </w:rPr>
        <w:t>п</w:t>
      </w:r>
    </w:p>
    <w:p w:rsidR="001B6244" w:rsidRPr="001B6244" w:rsidRDefault="001B6244" w:rsidP="001B6244">
      <w:pPr>
        <w:jc w:val="right"/>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r w:rsidRPr="001B6244">
        <w:rPr>
          <w:rFonts w:ascii="Times New Roman" w:hAnsi="Times New Roman"/>
          <w:sz w:val="28"/>
          <w:szCs w:val="28"/>
        </w:rPr>
        <w:t>ПРОГНОЗ</w:t>
      </w:r>
    </w:p>
    <w:p w:rsidR="001B6244" w:rsidRPr="001B6244" w:rsidRDefault="001B6244" w:rsidP="001B6244">
      <w:pPr>
        <w:jc w:val="center"/>
        <w:rPr>
          <w:rFonts w:ascii="Times New Roman" w:hAnsi="Times New Roman"/>
          <w:sz w:val="28"/>
          <w:szCs w:val="28"/>
        </w:rPr>
      </w:pPr>
      <w:r>
        <w:rPr>
          <w:rFonts w:ascii="Times New Roman" w:hAnsi="Times New Roman"/>
          <w:sz w:val="28"/>
          <w:szCs w:val="28"/>
        </w:rPr>
        <w:t>социально-экономического развития муниципального образования Саракташский поссовет на 2019 год и плановый период до 2024 года</w:t>
      </w: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jc w:val="cente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rPr>
          <w:rFonts w:ascii="Times New Roman" w:hAnsi="Times New Roman"/>
          <w:sz w:val="28"/>
          <w:szCs w:val="28"/>
        </w:rPr>
      </w:pP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t>МАКРОЭКОНОМИЧЕСКИЕ ПОКАЗАТЕЛИ</w:t>
      </w: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t>социально-экономического развития муниципального образования Саракташский поссовет на 2019 год и плановый период до 2024 года</w:t>
      </w:r>
    </w:p>
    <w:p w:rsidR="001B6244" w:rsidRDefault="001B6244" w:rsidP="001B6244">
      <w:pPr>
        <w:jc w:val="center"/>
        <w:rPr>
          <w:rFonts w:ascii="Times New Roman" w:hAnsi="Times New Roman"/>
          <w:b/>
          <w:sz w:val="28"/>
          <w:szCs w:val="28"/>
        </w:rPr>
      </w:pP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t>Приоритетные направления</w:t>
      </w: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t xml:space="preserve">социально-экономического развития </w:t>
      </w: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t>муниципального образования Саракташский поссовет.</w:t>
      </w:r>
    </w:p>
    <w:p w:rsidR="001B6244" w:rsidRPr="001B6244" w:rsidRDefault="001B6244" w:rsidP="001B6244">
      <w:pPr>
        <w:ind w:left="426"/>
        <w:jc w:val="both"/>
        <w:rPr>
          <w:rFonts w:ascii="Times New Roman" w:hAnsi="Times New Roman"/>
          <w:b/>
          <w:sz w:val="28"/>
          <w:szCs w:val="28"/>
        </w:rPr>
      </w:pPr>
    </w:p>
    <w:p w:rsidR="001B6244" w:rsidRPr="001B6244" w:rsidRDefault="001B6244" w:rsidP="001B6244">
      <w:pPr>
        <w:ind w:left="426"/>
        <w:jc w:val="both"/>
        <w:rPr>
          <w:rFonts w:ascii="Times New Roman" w:hAnsi="Times New Roman"/>
          <w:b/>
          <w:sz w:val="28"/>
          <w:szCs w:val="28"/>
        </w:rPr>
      </w:pP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1.Демография.</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2.Анализ о налогах и сборах</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3.Промышленность.</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4.Инвестиции.</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5.Жилищное строительство.</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6.Рынок товаров и услуг.</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7.Финансы</w:t>
      </w:r>
    </w:p>
    <w:p w:rsidR="001B6244" w:rsidRPr="001B6244" w:rsidRDefault="001B6244" w:rsidP="001B6244">
      <w:pPr>
        <w:ind w:left="426"/>
        <w:jc w:val="both"/>
        <w:rPr>
          <w:rFonts w:ascii="Times New Roman" w:hAnsi="Times New Roman"/>
          <w:sz w:val="28"/>
          <w:szCs w:val="28"/>
        </w:rPr>
      </w:pPr>
      <w:r w:rsidRPr="001B6244">
        <w:rPr>
          <w:rFonts w:ascii="Times New Roman" w:hAnsi="Times New Roman"/>
          <w:sz w:val="28"/>
          <w:szCs w:val="28"/>
        </w:rPr>
        <w:t>8.Жизненный уровень</w:t>
      </w:r>
    </w:p>
    <w:p w:rsidR="001B6244" w:rsidRPr="001B6244" w:rsidRDefault="001B6244" w:rsidP="001B6244">
      <w:pPr>
        <w:ind w:left="426"/>
        <w:jc w:val="both"/>
        <w:rPr>
          <w:rFonts w:ascii="Times New Roman" w:hAnsi="Times New Roman"/>
          <w:b/>
          <w:sz w:val="28"/>
          <w:szCs w:val="28"/>
        </w:rPr>
      </w:pPr>
      <w:r w:rsidRPr="001B6244">
        <w:rPr>
          <w:rFonts w:ascii="Times New Roman" w:hAnsi="Times New Roman"/>
          <w:sz w:val="28"/>
          <w:szCs w:val="28"/>
        </w:rPr>
        <w:t>9.Туризм.</w:t>
      </w:r>
    </w:p>
    <w:p w:rsidR="001B6244" w:rsidRPr="001B6244" w:rsidRDefault="001B6244" w:rsidP="001B6244">
      <w:pPr>
        <w:rPr>
          <w:rFonts w:ascii="Times New Roman" w:hAnsi="Times New Roman"/>
          <w:sz w:val="28"/>
          <w:szCs w:val="28"/>
          <w:highlight w:val="yellow"/>
        </w:rPr>
      </w:pPr>
    </w:p>
    <w:p w:rsidR="001B6244" w:rsidRPr="001B6244" w:rsidRDefault="001B6244" w:rsidP="001B6244">
      <w:pPr>
        <w:pStyle w:val="aa"/>
        <w:jc w:val="both"/>
        <w:rPr>
          <w:sz w:val="28"/>
          <w:szCs w:val="28"/>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highlight w:val="yellow"/>
        </w:rPr>
      </w:pPr>
    </w:p>
    <w:p w:rsidR="001B6244" w:rsidRPr="001B6244" w:rsidRDefault="001B6244" w:rsidP="001B6244">
      <w:pPr>
        <w:jc w:val="center"/>
        <w:rPr>
          <w:rFonts w:ascii="Times New Roman" w:hAnsi="Times New Roman"/>
          <w:b/>
          <w:sz w:val="28"/>
          <w:szCs w:val="28"/>
        </w:rPr>
      </w:pPr>
      <w:r w:rsidRPr="001B6244">
        <w:rPr>
          <w:rFonts w:ascii="Times New Roman" w:hAnsi="Times New Roman"/>
          <w:b/>
          <w:sz w:val="28"/>
          <w:szCs w:val="28"/>
        </w:rPr>
        <w:lastRenderedPageBreak/>
        <w:t>ДЕМОГРАФИЯ</w:t>
      </w:r>
    </w:p>
    <w:p w:rsidR="001B6244" w:rsidRPr="001B6244" w:rsidRDefault="001B6244" w:rsidP="00823495">
      <w:pPr>
        <w:pStyle w:val="ac"/>
        <w:spacing w:line="240" w:lineRule="auto"/>
        <w:jc w:val="both"/>
        <w:rPr>
          <w:rFonts w:ascii="Times New Roman" w:hAnsi="Times New Roman"/>
          <w:sz w:val="28"/>
          <w:szCs w:val="28"/>
        </w:rPr>
      </w:pPr>
      <w:r w:rsidRPr="001B6244">
        <w:rPr>
          <w:rFonts w:ascii="Times New Roman" w:hAnsi="Times New Roman"/>
          <w:sz w:val="28"/>
          <w:szCs w:val="28"/>
        </w:rPr>
        <w:t xml:space="preserve">          В последние годы в поселке прослеживается тенденция к снижению численности населения.</w:t>
      </w:r>
      <w:r w:rsidRPr="001B6244">
        <w:rPr>
          <w:rFonts w:ascii="Times New Roman" w:hAnsi="Times New Roman"/>
          <w:b/>
          <w:sz w:val="28"/>
          <w:szCs w:val="28"/>
        </w:rPr>
        <w:t xml:space="preserve"> </w:t>
      </w:r>
      <w:r w:rsidRPr="001B6244">
        <w:rPr>
          <w:rFonts w:ascii="Times New Roman" w:hAnsi="Times New Roman"/>
          <w:sz w:val="28"/>
          <w:szCs w:val="28"/>
        </w:rPr>
        <w:t xml:space="preserve"> Численность населения </w:t>
      </w:r>
      <w:r w:rsidR="00823495">
        <w:rPr>
          <w:rFonts w:ascii="Times New Roman" w:hAnsi="Times New Roman"/>
          <w:sz w:val="28"/>
          <w:szCs w:val="28"/>
        </w:rPr>
        <w:t>поселка</w:t>
      </w:r>
      <w:r w:rsidRPr="001B6244">
        <w:rPr>
          <w:rFonts w:ascii="Times New Roman" w:hAnsi="Times New Roman"/>
          <w:sz w:val="28"/>
          <w:szCs w:val="28"/>
        </w:rPr>
        <w:t xml:space="preserve"> на 1 января 2018 года   составила 17,4 тыс. чел, или снизилась к уровню предыдущего года.</w:t>
      </w:r>
    </w:p>
    <w:p w:rsidR="001B6244" w:rsidRPr="001B6244" w:rsidRDefault="001B6244" w:rsidP="00C16C4C">
      <w:pPr>
        <w:pStyle w:val="aa"/>
        <w:jc w:val="both"/>
        <w:rPr>
          <w:b w:val="0"/>
          <w:sz w:val="28"/>
          <w:szCs w:val="28"/>
        </w:rPr>
      </w:pPr>
      <w:r w:rsidRPr="001B6244">
        <w:rPr>
          <w:b w:val="0"/>
          <w:sz w:val="28"/>
          <w:szCs w:val="28"/>
        </w:rPr>
        <w:t xml:space="preserve">          На снижение численности оказали влияние, как  миграционный отток населения, так и естественная убыль населения. В текущем году такая же тенденция сохраняется.</w:t>
      </w:r>
    </w:p>
    <w:p w:rsidR="001B6244" w:rsidRPr="001B6244" w:rsidRDefault="001B6244" w:rsidP="00C16C4C">
      <w:pPr>
        <w:pStyle w:val="aa"/>
        <w:jc w:val="both"/>
        <w:rPr>
          <w:b w:val="0"/>
          <w:sz w:val="28"/>
          <w:szCs w:val="28"/>
        </w:rPr>
      </w:pPr>
      <w:r w:rsidRPr="001B6244">
        <w:rPr>
          <w:b w:val="0"/>
          <w:sz w:val="28"/>
          <w:szCs w:val="28"/>
        </w:rPr>
        <w:t xml:space="preserve">           Демографическая политика  в прогнозируемом периоде будет зависеть от мер, принимаемых Правительством РФ  по улучшению демографической ситуации и в целом от  поступательного развития экономики. </w:t>
      </w:r>
    </w:p>
    <w:p w:rsidR="001B6244" w:rsidRPr="001B6244" w:rsidRDefault="001B6244" w:rsidP="00C16C4C">
      <w:pPr>
        <w:pStyle w:val="aa"/>
        <w:jc w:val="both"/>
        <w:rPr>
          <w:b w:val="0"/>
          <w:sz w:val="28"/>
          <w:szCs w:val="28"/>
        </w:rPr>
      </w:pPr>
      <w:r w:rsidRPr="001B6244">
        <w:rPr>
          <w:b w:val="0"/>
          <w:sz w:val="28"/>
          <w:szCs w:val="28"/>
        </w:rPr>
        <w:t xml:space="preserve">          В 2019г. численность населения поселка сохранится на уровне текущего года. В 2020-2024гг.  прогнозируется   рост численности населения за счет миграционного притока населения.</w:t>
      </w:r>
    </w:p>
    <w:p w:rsidR="001B6244" w:rsidRDefault="001B6244" w:rsidP="001B6244">
      <w:pPr>
        <w:pStyle w:val="aa"/>
        <w:rPr>
          <w:sz w:val="28"/>
          <w:szCs w:val="28"/>
        </w:rPr>
      </w:pPr>
    </w:p>
    <w:p w:rsidR="001B6244" w:rsidRPr="001B6244" w:rsidRDefault="001B6244" w:rsidP="001B6244">
      <w:pPr>
        <w:pStyle w:val="aa"/>
        <w:rPr>
          <w:b w:val="0"/>
          <w:sz w:val="28"/>
          <w:szCs w:val="28"/>
        </w:rPr>
      </w:pPr>
      <w:r w:rsidRPr="001B6244">
        <w:rPr>
          <w:sz w:val="28"/>
          <w:szCs w:val="28"/>
        </w:rPr>
        <w:t>АНАЛИЗ О НАЛОГАХ И СБОРАХ</w:t>
      </w:r>
    </w:p>
    <w:p w:rsidR="001B6244" w:rsidRPr="001B6244" w:rsidRDefault="001B6244" w:rsidP="001B6244">
      <w:pPr>
        <w:pStyle w:val="aa"/>
        <w:rPr>
          <w:b w:val="0"/>
          <w:sz w:val="28"/>
          <w:szCs w:val="28"/>
        </w:rPr>
      </w:pPr>
    </w:p>
    <w:p w:rsidR="001B6244" w:rsidRPr="001B6244" w:rsidRDefault="001B6244" w:rsidP="001B6244">
      <w:pPr>
        <w:pStyle w:val="ConsNormal"/>
        <w:widowControl/>
        <w:ind w:right="0" w:firstLine="540"/>
        <w:jc w:val="both"/>
        <w:rPr>
          <w:rFonts w:ascii="Times New Roman" w:hAnsi="Times New Roman" w:cs="Times New Roman"/>
          <w:sz w:val="28"/>
          <w:szCs w:val="28"/>
        </w:rPr>
      </w:pPr>
      <w:r w:rsidRPr="001B6244">
        <w:rPr>
          <w:rFonts w:ascii="Times New Roman" w:hAnsi="Times New Roman" w:cs="Times New Roman"/>
          <w:sz w:val="28"/>
          <w:szCs w:val="28"/>
        </w:rPr>
        <w:t>Прогноз социально-экономического развития Саракташского поссовета   разрабатывается на основе данных социально-экономического развития Саракташского поссовета за последний отчетный период, прогноза социально-экономического развития Саракташского поссовета до конца базового года и тенденций развития экономики и социальной сферы на планируемый финансовый год.</w:t>
      </w:r>
    </w:p>
    <w:p w:rsidR="001B6244" w:rsidRPr="001B6244" w:rsidRDefault="001B6244" w:rsidP="001B6244">
      <w:pPr>
        <w:pStyle w:val="Default"/>
        <w:ind w:firstLine="700"/>
        <w:jc w:val="both"/>
        <w:rPr>
          <w:sz w:val="28"/>
          <w:szCs w:val="28"/>
        </w:rPr>
      </w:pPr>
      <w:r w:rsidRPr="001B6244">
        <w:rPr>
          <w:sz w:val="28"/>
          <w:szCs w:val="28"/>
        </w:rPr>
        <w:t xml:space="preserve">Основные  направления  налоговой политики Саракташского поссовета на 2019 год и на плановый период до 2024 года (далее – Основные направления налоговой политики) разработаны с учетом стратегических целей развития Саракташского поссовета, сформулированных в соответствии с основными положениями Послания Президента Российской Федерации Федеральному Собранию Российской Федерации,  бюджетным прогнозом Саракташского поссовета. </w:t>
      </w:r>
    </w:p>
    <w:p w:rsidR="001B6244" w:rsidRPr="001B6244" w:rsidRDefault="001B6244" w:rsidP="00C16C4C">
      <w:pPr>
        <w:spacing w:line="240" w:lineRule="auto"/>
        <w:ind w:firstLine="709"/>
        <w:jc w:val="both"/>
        <w:rPr>
          <w:rFonts w:ascii="Times New Roman" w:hAnsi="Times New Roman"/>
          <w:color w:val="000000"/>
          <w:sz w:val="28"/>
          <w:szCs w:val="28"/>
        </w:rPr>
      </w:pPr>
      <w:r w:rsidRPr="001B6244">
        <w:rPr>
          <w:rFonts w:ascii="Times New Roman" w:hAnsi="Times New Roman"/>
          <w:color w:val="000000"/>
          <w:sz w:val="28"/>
          <w:szCs w:val="28"/>
        </w:rPr>
        <w:t xml:space="preserve">Целью основных направлений налоговой политики является определение условий,  принимаемых для составления проекта бюджета на </w:t>
      </w:r>
      <w:r w:rsidRPr="001B6244">
        <w:rPr>
          <w:rFonts w:ascii="Times New Roman" w:hAnsi="Times New Roman"/>
          <w:sz w:val="28"/>
          <w:szCs w:val="28"/>
        </w:rPr>
        <w:t>на 2019 год и на плановый период до 2024 года</w:t>
      </w:r>
      <w:r w:rsidRPr="001B6244">
        <w:rPr>
          <w:rFonts w:ascii="Times New Roman" w:hAnsi="Times New Roman"/>
          <w:color w:val="000000"/>
          <w:sz w:val="28"/>
          <w:szCs w:val="28"/>
        </w:rPr>
        <w:t xml:space="preserve">, подходов к его формированию и общего порядка разработки основных характеристик и прогнозируемых параметров бюджета. </w:t>
      </w:r>
    </w:p>
    <w:p w:rsidR="001B6244" w:rsidRPr="001B6244" w:rsidRDefault="001B6244" w:rsidP="00C16C4C">
      <w:pPr>
        <w:spacing w:line="240" w:lineRule="auto"/>
        <w:ind w:firstLine="709"/>
        <w:jc w:val="both"/>
        <w:rPr>
          <w:rFonts w:ascii="Times New Roman" w:hAnsi="Times New Roman"/>
          <w:sz w:val="28"/>
          <w:szCs w:val="28"/>
        </w:rPr>
      </w:pPr>
      <w:r w:rsidRPr="001B6244">
        <w:rPr>
          <w:rFonts w:ascii="Times New Roman" w:hAnsi="Times New Roman"/>
          <w:sz w:val="28"/>
          <w:szCs w:val="28"/>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1B6244" w:rsidRPr="001B6244" w:rsidRDefault="001B6244" w:rsidP="00C16C4C">
      <w:pPr>
        <w:spacing w:line="240" w:lineRule="auto"/>
        <w:ind w:firstLine="709"/>
        <w:jc w:val="both"/>
        <w:rPr>
          <w:rFonts w:ascii="Times New Roman" w:hAnsi="Times New Roman"/>
          <w:sz w:val="28"/>
          <w:szCs w:val="28"/>
        </w:rPr>
      </w:pPr>
      <w:r w:rsidRPr="001B6244">
        <w:rPr>
          <w:rFonts w:ascii="Times New Roman" w:hAnsi="Times New Roman"/>
          <w:sz w:val="28"/>
          <w:szCs w:val="28"/>
        </w:rPr>
        <w:t>Приоритетами Саракташского поссовета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местные нормативные правовые акты.</w:t>
      </w:r>
    </w:p>
    <w:p w:rsidR="001B6244" w:rsidRPr="001B6244" w:rsidRDefault="001B6244" w:rsidP="00C16C4C">
      <w:pPr>
        <w:spacing w:line="240" w:lineRule="auto"/>
        <w:ind w:firstLine="709"/>
        <w:jc w:val="both"/>
        <w:rPr>
          <w:rFonts w:ascii="Times New Roman" w:hAnsi="Times New Roman"/>
          <w:sz w:val="28"/>
          <w:szCs w:val="28"/>
        </w:rPr>
      </w:pPr>
      <w:r w:rsidRPr="001B6244">
        <w:rPr>
          <w:rFonts w:ascii="Times New Roman" w:hAnsi="Times New Roman"/>
          <w:sz w:val="28"/>
          <w:szCs w:val="28"/>
        </w:rPr>
        <w:lastRenderedPageBreak/>
        <w:t>При этом налоговая политика должна быть направлена на обеспечение устойчивого развития экономики и социальной стабильности в Саракташском поссовете.</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Основные итоги реализации налоговой политики Саракташского поссовета</w:t>
      </w:r>
    </w:p>
    <w:p w:rsidR="001B6244" w:rsidRPr="001B6244" w:rsidRDefault="001B6244" w:rsidP="00C16C4C">
      <w:pPr>
        <w:spacing w:line="240" w:lineRule="auto"/>
        <w:jc w:val="both"/>
        <w:rPr>
          <w:rFonts w:ascii="Times New Roman" w:hAnsi="Times New Roman"/>
          <w:sz w:val="28"/>
          <w:szCs w:val="28"/>
        </w:rPr>
      </w:pPr>
      <w:r w:rsidRPr="001B6244">
        <w:rPr>
          <w:rFonts w:ascii="Times New Roman" w:hAnsi="Times New Roman"/>
          <w:sz w:val="28"/>
          <w:szCs w:val="28"/>
        </w:rPr>
        <w:t xml:space="preserve">    В 2017 – 2018 годах наблюдается увеличение доли налоговых и неналоговых доходов консолидированного бюджета Саракташского поссовета. Динамику поступлений доходов консолидированного бюджета Саракташского района за период с 2017 года по 2018 год характеризуют данные, приведенные в таблице 1.</w:t>
      </w:r>
    </w:p>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 xml:space="preserve">Таблица 1. Доходы консолидированного бюджета Саракташского поссовета </w:t>
      </w:r>
    </w:p>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 xml:space="preserve">в 2017–2018 годах </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Анализ о налогах и сборах</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134"/>
        <w:gridCol w:w="993"/>
        <w:gridCol w:w="1134"/>
        <w:gridCol w:w="1134"/>
        <w:gridCol w:w="992"/>
      </w:tblGrid>
      <w:tr w:rsidR="001B6244" w:rsidRPr="001B6244" w:rsidTr="00ED0059">
        <w:tc>
          <w:tcPr>
            <w:tcW w:w="709" w:type="dxa"/>
          </w:tcPr>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 п/п</w:t>
            </w:r>
          </w:p>
        </w:tc>
        <w:tc>
          <w:tcPr>
            <w:tcW w:w="3402" w:type="dxa"/>
          </w:tcPr>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Налоги</w:t>
            </w:r>
          </w:p>
        </w:tc>
        <w:tc>
          <w:tcPr>
            <w:tcW w:w="3261" w:type="dxa"/>
            <w:gridSpan w:val="3"/>
          </w:tcPr>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2017 год</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 xml:space="preserve">(план, факт </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тыс.руб, % исполнения)</w:t>
            </w:r>
          </w:p>
          <w:p w:rsidR="001B6244" w:rsidRPr="001B6244" w:rsidRDefault="001B6244" w:rsidP="00C16C4C">
            <w:pPr>
              <w:spacing w:line="240" w:lineRule="auto"/>
              <w:jc w:val="center"/>
              <w:rPr>
                <w:rFonts w:ascii="Times New Roman" w:hAnsi="Times New Roman"/>
                <w:b/>
                <w:sz w:val="28"/>
                <w:szCs w:val="28"/>
              </w:rPr>
            </w:pPr>
          </w:p>
        </w:tc>
        <w:tc>
          <w:tcPr>
            <w:tcW w:w="3260" w:type="dxa"/>
            <w:gridSpan w:val="3"/>
          </w:tcPr>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2018 год</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 xml:space="preserve">(план, факт </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за 10 мес)</w:t>
            </w:r>
          </w:p>
          <w:p w:rsidR="001B6244" w:rsidRPr="001B6244" w:rsidRDefault="001B6244" w:rsidP="00C16C4C">
            <w:pPr>
              <w:spacing w:line="240" w:lineRule="auto"/>
              <w:jc w:val="center"/>
              <w:rPr>
                <w:rFonts w:ascii="Times New Roman" w:hAnsi="Times New Roman"/>
                <w:b/>
                <w:sz w:val="28"/>
                <w:szCs w:val="28"/>
              </w:rPr>
            </w:pPr>
            <w:r w:rsidRPr="001B6244">
              <w:rPr>
                <w:rFonts w:ascii="Times New Roman" w:hAnsi="Times New Roman"/>
                <w:b/>
                <w:sz w:val="28"/>
                <w:szCs w:val="28"/>
              </w:rPr>
              <w:t>тыс.руб, % исполнения)</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1.</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НДФЛ</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21274,0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19014,4</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89,4%</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21289,0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16777,3</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78,8%</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2.</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Единый сельскохозяйственный налог</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389,5</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390,1</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100,2%</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445,0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392,2</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88,1%</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3.</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Земельный налог</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16656,9</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9420,3</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56,6</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12018,1</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7061,6</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58,8</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4.</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УСН</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1533,1</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1555,0</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101,4</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1580,0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963,2</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61</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5.</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Акцизы от продажи ГСМ</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7036,5</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7036,5</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10,0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7054,0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6259,1</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88,7</w:t>
            </w:r>
          </w:p>
        </w:tc>
      </w:tr>
      <w:tr w:rsidR="001B6244" w:rsidRPr="001B6244" w:rsidTr="00ED0059">
        <w:tc>
          <w:tcPr>
            <w:tcW w:w="709" w:type="dxa"/>
          </w:tcPr>
          <w:p w:rsidR="001B6244" w:rsidRPr="001B6244" w:rsidRDefault="001B6244" w:rsidP="00C16C4C">
            <w:pPr>
              <w:spacing w:line="240" w:lineRule="auto"/>
              <w:rPr>
                <w:rFonts w:ascii="Times New Roman" w:hAnsi="Times New Roman"/>
                <w:sz w:val="28"/>
                <w:szCs w:val="28"/>
              </w:rPr>
            </w:pPr>
            <w:r w:rsidRPr="001B6244">
              <w:rPr>
                <w:rFonts w:ascii="Times New Roman" w:hAnsi="Times New Roman"/>
                <w:sz w:val="28"/>
                <w:szCs w:val="28"/>
              </w:rPr>
              <w:t>7.</w:t>
            </w:r>
          </w:p>
        </w:tc>
        <w:tc>
          <w:tcPr>
            <w:tcW w:w="340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Налог на имущество     физ. лиц</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1472,0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1105,7</w:t>
            </w:r>
          </w:p>
        </w:tc>
        <w:tc>
          <w:tcPr>
            <w:tcW w:w="993"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75,1</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1380,0</w:t>
            </w:r>
          </w:p>
        </w:tc>
        <w:tc>
          <w:tcPr>
            <w:tcW w:w="1134"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554,1</w:t>
            </w:r>
          </w:p>
        </w:tc>
        <w:tc>
          <w:tcPr>
            <w:tcW w:w="992" w:type="dxa"/>
          </w:tcPr>
          <w:p w:rsidR="001B6244" w:rsidRPr="001B6244" w:rsidRDefault="001B6244" w:rsidP="00C16C4C">
            <w:pPr>
              <w:spacing w:line="240" w:lineRule="auto"/>
              <w:jc w:val="center"/>
              <w:rPr>
                <w:rFonts w:ascii="Times New Roman" w:hAnsi="Times New Roman"/>
                <w:sz w:val="28"/>
                <w:szCs w:val="28"/>
              </w:rPr>
            </w:pPr>
            <w:r w:rsidRPr="001B6244">
              <w:rPr>
                <w:rFonts w:ascii="Times New Roman" w:hAnsi="Times New Roman"/>
                <w:sz w:val="28"/>
                <w:szCs w:val="28"/>
              </w:rPr>
              <w:t>40,2</w:t>
            </w:r>
          </w:p>
        </w:tc>
      </w:tr>
    </w:tbl>
    <w:p w:rsidR="001B6244" w:rsidRPr="001B6244" w:rsidRDefault="001B6244" w:rsidP="00C16C4C">
      <w:pPr>
        <w:spacing w:line="240" w:lineRule="auto"/>
        <w:ind w:firstLine="709"/>
        <w:jc w:val="both"/>
        <w:rPr>
          <w:rFonts w:ascii="Times New Roman" w:hAnsi="Times New Roman"/>
          <w:sz w:val="28"/>
          <w:szCs w:val="28"/>
        </w:rPr>
      </w:pPr>
      <w:r w:rsidRPr="001B6244">
        <w:rPr>
          <w:rFonts w:ascii="Times New Roman" w:hAnsi="Times New Roman"/>
          <w:sz w:val="28"/>
          <w:szCs w:val="28"/>
        </w:rPr>
        <w:t>В структуре налоговых и неналоговых доходов бюджета наибольший удельный вес занимает налог на доходы физических лиц.</w:t>
      </w:r>
    </w:p>
    <w:p w:rsidR="001B6244" w:rsidRPr="001B6244" w:rsidRDefault="001B6244" w:rsidP="00C16C4C">
      <w:pPr>
        <w:spacing w:line="240" w:lineRule="auto"/>
        <w:ind w:firstLine="709"/>
        <w:jc w:val="both"/>
        <w:rPr>
          <w:rFonts w:ascii="Times New Roman" w:hAnsi="Times New Roman"/>
          <w:sz w:val="28"/>
          <w:szCs w:val="28"/>
        </w:rPr>
      </w:pPr>
      <w:r w:rsidRPr="001B6244">
        <w:rPr>
          <w:rFonts w:ascii="Times New Roman" w:hAnsi="Times New Roman"/>
          <w:sz w:val="28"/>
          <w:szCs w:val="28"/>
        </w:rPr>
        <w:t>В 2018 году по сравнению с аналогичным периодом прошлого года поступления налога на доходы физических лиц увеличились в связи с увеличением норматива отчислений в бюджеты поселений и увеличением допнорматива.</w:t>
      </w:r>
    </w:p>
    <w:p w:rsidR="001B6244" w:rsidRPr="001B6244" w:rsidRDefault="001B6244" w:rsidP="00C16C4C">
      <w:pPr>
        <w:pStyle w:val="ConsPlusNormal"/>
        <w:ind w:firstLine="540"/>
        <w:jc w:val="both"/>
        <w:rPr>
          <w:rFonts w:ascii="Times New Roman" w:hAnsi="Times New Roman" w:cs="Times New Roman"/>
          <w:sz w:val="28"/>
          <w:szCs w:val="28"/>
        </w:rPr>
      </w:pPr>
      <w:r w:rsidRPr="001B6244">
        <w:rPr>
          <w:rFonts w:ascii="Times New Roman" w:hAnsi="Times New Roman" w:cs="Times New Roman"/>
          <w:sz w:val="28"/>
          <w:szCs w:val="28"/>
        </w:rPr>
        <w:t>С 1 января 2016 года предусмотрены единые сроки уплаты физическими лицами земельного налога и налога на имущество физических лиц – не позднее 1 декабря года, следующего за истекшим налоговым периодом.</w:t>
      </w:r>
    </w:p>
    <w:p w:rsidR="001B6244" w:rsidRPr="001B6244" w:rsidRDefault="001B6244" w:rsidP="00C16C4C">
      <w:pPr>
        <w:pStyle w:val="21"/>
        <w:spacing w:line="240" w:lineRule="auto"/>
        <w:ind w:left="0"/>
        <w:jc w:val="center"/>
        <w:rPr>
          <w:rFonts w:ascii="Times New Roman" w:hAnsi="Times New Roman"/>
          <w:b/>
          <w:sz w:val="28"/>
          <w:szCs w:val="28"/>
        </w:rPr>
      </w:pPr>
      <w:r w:rsidRPr="001B6244">
        <w:rPr>
          <w:rFonts w:ascii="Times New Roman" w:hAnsi="Times New Roman"/>
          <w:b/>
          <w:sz w:val="28"/>
          <w:szCs w:val="28"/>
        </w:rPr>
        <w:lastRenderedPageBreak/>
        <w:t>ПРОМЫШЛЕННОСТЬ</w:t>
      </w:r>
    </w:p>
    <w:p w:rsidR="001B6244" w:rsidRPr="001B6244" w:rsidRDefault="001B6244" w:rsidP="00C16C4C">
      <w:pPr>
        <w:pStyle w:val="ae"/>
        <w:ind w:firstLine="567"/>
        <w:jc w:val="both"/>
        <w:rPr>
          <w:sz w:val="28"/>
          <w:szCs w:val="28"/>
        </w:rPr>
      </w:pPr>
      <w:r w:rsidRPr="001B6244">
        <w:rPr>
          <w:sz w:val="28"/>
          <w:szCs w:val="28"/>
        </w:rPr>
        <w:t>Промышленность поселка Саракташ представлена крупными и средними предприятиями: ООО «Саракташский механический  завод»  и ООО «Промдеталь» (группа компаний завода «Коммунар»), ООО «Саракташский консервный завод», а также субъектами предпринимательства, занимающимися промышленным производством  и цехами непромышленных производств.</w:t>
      </w:r>
    </w:p>
    <w:p w:rsidR="001B6244" w:rsidRPr="001B6244" w:rsidRDefault="001B6244" w:rsidP="00C16C4C">
      <w:pPr>
        <w:spacing w:line="240" w:lineRule="auto"/>
        <w:ind w:firstLine="567"/>
        <w:jc w:val="both"/>
        <w:rPr>
          <w:rFonts w:ascii="Times New Roman" w:hAnsi="Times New Roman"/>
          <w:sz w:val="28"/>
          <w:szCs w:val="28"/>
        </w:rPr>
      </w:pPr>
      <w:r w:rsidRPr="001B6244">
        <w:rPr>
          <w:rFonts w:ascii="Times New Roman" w:hAnsi="Times New Roman"/>
          <w:sz w:val="28"/>
          <w:szCs w:val="28"/>
        </w:rPr>
        <w:t>Прогноз объема отгруженных товаров собственного производства, выполненных работ и услуг собственными силами на 2019-2024г разработан исходя из анализа отчетных данных 2016-2017г, первого полугодия текущего года и оценки объемов 2018 года. Также учитывались прогнозные данные, представленные промышленными предприятиями поселка.</w:t>
      </w:r>
    </w:p>
    <w:p w:rsidR="001B6244" w:rsidRPr="001B6244" w:rsidRDefault="001B6244" w:rsidP="00C16C4C">
      <w:pPr>
        <w:pStyle w:val="ae"/>
        <w:ind w:firstLine="567"/>
        <w:jc w:val="both"/>
        <w:rPr>
          <w:sz w:val="28"/>
          <w:szCs w:val="28"/>
        </w:rPr>
      </w:pPr>
      <w:r w:rsidRPr="001B6244">
        <w:rPr>
          <w:sz w:val="28"/>
          <w:szCs w:val="28"/>
        </w:rPr>
        <w:t>Чуть выше  уровня предыдущего года имеет производственные показатели  ООО «Саракташский консервный завод». В отчётном году производство консервной  продукции на предприятии составило 24,4 млн. руб.</w:t>
      </w:r>
    </w:p>
    <w:p w:rsidR="001B6244" w:rsidRPr="001B6244" w:rsidRDefault="001B6244" w:rsidP="00C16C4C">
      <w:pPr>
        <w:pStyle w:val="ae"/>
        <w:ind w:firstLine="567"/>
        <w:jc w:val="both"/>
        <w:rPr>
          <w:sz w:val="28"/>
          <w:szCs w:val="28"/>
        </w:rPr>
      </w:pPr>
      <w:r w:rsidRPr="001B6244">
        <w:rPr>
          <w:sz w:val="28"/>
          <w:szCs w:val="28"/>
        </w:rPr>
        <w:t>В настоящее время предприятие вырабатывает 42 наименования  различной продукции: фруктово-овощные соки, компоты,  маринады, салаты.  Ассортимент постоянно расширяется. Новинкой 2017 года стали вишнёвый сок и компот, протёртая с сахаром ежевика, малина, клубника, клюква, чёрная смородина и др. Народное признание продукция заслужила не только за экологическую чистоту и безопасность, но и за высокие вкусовые качества и полезность.</w:t>
      </w:r>
    </w:p>
    <w:p w:rsidR="001B6244" w:rsidRPr="001B6244" w:rsidRDefault="001B6244" w:rsidP="00C16C4C">
      <w:pPr>
        <w:pStyle w:val="ae"/>
        <w:ind w:firstLine="567"/>
        <w:jc w:val="both"/>
        <w:rPr>
          <w:sz w:val="28"/>
          <w:szCs w:val="28"/>
        </w:rPr>
      </w:pPr>
      <w:r w:rsidRPr="001B6244">
        <w:rPr>
          <w:sz w:val="28"/>
          <w:szCs w:val="28"/>
        </w:rPr>
        <w:t>Активно предприятие сотрудничает с торговыми сетями: «Ринг», ООО «Желен». Также продукция поставляется  учреждениям социальной  сферы.</w:t>
      </w:r>
    </w:p>
    <w:p w:rsidR="001B6244" w:rsidRPr="001B6244" w:rsidRDefault="001B6244" w:rsidP="00C16C4C">
      <w:pPr>
        <w:pStyle w:val="ae"/>
        <w:ind w:firstLine="567"/>
        <w:jc w:val="both"/>
        <w:rPr>
          <w:sz w:val="28"/>
          <w:szCs w:val="28"/>
        </w:rPr>
      </w:pPr>
      <w:r w:rsidRPr="001B6244">
        <w:rPr>
          <w:sz w:val="28"/>
          <w:szCs w:val="28"/>
        </w:rPr>
        <w:t>Предприятие регулярно принимает участие и занимает призовые места в выставках на различных уровнях. В отчётном году  предприятие  принимало участие в  Российской  Агропромышленной выставке «Золотая осень», где за повидло яблочное получена серебряная медаль, а за соки яблочный с мякотью и томатный бронзовая медаль.</w:t>
      </w:r>
    </w:p>
    <w:p w:rsidR="001B6244" w:rsidRPr="001B6244" w:rsidRDefault="001B6244" w:rsidP="00C16C4C">
      <w:pPr>
        <w:pStyle w:val="ae"/>
        <w:ind w:firstLine="567"/>
        <w:jc w:val="both"/>
        <w:rPr>
          <w:sz w:val="28"/>
          <w:szCs w:val="28"/>
        </w:rPr>
      </w:pPr>
      <w:r w:rsidRPr="001B6244">
        <w:rPr>
          <w:sz w:val="28"/>
          <w:szCs w:val="28"/>
        </w:rPr>
        <w:t xml:space="preserve">Также принимали участие в XII  городском бизнес-форуме «Город-бизнесу, бизнес-городу» и были отмечены дипломом. </w:t>
      </w:r>
    </w:p>
    <w:p w:rsidR="001B6244" w:rsidRPr="001B6244" w:rsidRDefault="001B6244" w:rsidP="00C16C4C">
      <w:pPr>
        <w:spacing w:line="240" w:lineRule="auto"/>
        <w:jc w:val="both"/>
        <w:rPr>
          <w:rFonts w:ascii="Times New Roman" w:hAnsi="Times New Roman"/>
          <w:sz w:val="28"/>
          <w:szCs w:val="28"/>
        </w:rPr>
      </w:pPr>
      <w:r w:rsidRPr="001B6244">
        <w:rPr>
          <w:rFonts w:ascii="Times New Roman" w:hAnsi="Times New Roman"/>
          <w:sz w:val="28"/>
          <w:szCs w:val="28"/>
        </w:rPr>
        <w:t xml:space="preserve">           В текущем году в Минсельхозе области прошел конкурс на получение грантов начинающими фермерами, главами семейных животноводческих ферм и сельскохозяйственными потребительскими кооперативами.  В числе победителей, получивших гранты, потребительский кооператив «Саракташский консервный завод».  Предприятие представило бизнес-проект по модернизации производственных участков по выработке консервов, связанный с заменой и дооснащением существующего оборудования.  Стоимость проекта – 10млн. руб, из них 4 млн.руб – собственные средства предприятия.</w:t>
      </w:r>
    </w:p>
    <w:p w:rsidR="001B6244" w:rsidRPr="001B6244" w:rsidRDefault="001B6244" w:rsidP="00C16C4C">
      <w:pPr>
        <w:spacing w:line="240" w:lineRule="auto"/>
        <w:ind w:firstLine="567"/>
        <w:jc w:val="both"/>
        <w:rPr>
          <w:rFonts w:ascii="Times New Roman" w:hAnsi="Times New Roman"/>
          <w:sz w:val="28"/>
          <w:szCs w:val="28"/>
        </w:rPr>
      </w:pPr>
      <w:r w:rsidRPr="001B6244">
        <w:rPr>
          <w:rFonts w:ascii="Times New Roman" w:hAnsi="Times New Roman"/>
          <w:sz w:val="28"/>
          <w:szCs w:val="28"/>
        </w:rPr>
        <w:t xml:space="preserve">ПК «Саракташский консервный завод»  будет осуществляться  замена оборудования технологической линии по производству консервов, монтаж </w:t>
      </w:r>
      <w:r w:rsidRPr="001B6244">
        <w:rPr>
          <w:rFonts w:ascii="Times New Roman" w:hAnsi="Times New Roman"/>
          <w:sz w:val="28"/>
          <w:szCs w:val="28"/>
        </w:rPr>
        <w:lastRenderedPageBreak/>
        <w:t>технологической линии для овощной консервации, приобретение оборудования для водоподготовки и другого  технологического оборудования, которое позволит улучшить качество и привлекательность продукции.</w:t>
      </w:r>
    </w:p>
    <w:p w:rsidR="001B6244" w:rsidRPr="001B6244" w:rsidRDefault="001B6244" w:rsidP="00C16C4C">
      <w:pPr>
        <w:pStyle w:val="ae"/>
        <w:ind w:firstLine="567"/>
        <w:jc w:val="both"/>
        <w:rPr>
          <w:sz w:val="28"/>
          <w:szCs w:val="28"/>
        </w:rPr>
      </w:pPr>
      <w:r w:rsidRPr="001B6244">
        <w:rPr>
          <w:sz w:val="28"/>
          <w:szCs w:val="28"/>
        </w:rPr>
        <w:t>Предприятием ООО «Кооппром» произведено в отчётном году 20,6 дкл минеральной воды, или на уровне  предыдущего года.</w:t>
      </w:r>
    </w:p>
    <w:p w:rsidR="001B6244" w:rsidRPr="001B6244" w:rsidRDefault="001B6244" w:rsidP="00C16C4C">
      <w:pPr>
        <w:pStyle w:val="ae"/>
        <w:ind w:firstLine="567"/>
        <w:jc w:val="both"/>
        <w:rPr>
          <w:sz w:val="28"/>
          <w:szCs w:val="28"/>
        </w:rPr>
      </w:pPr>
      <w:r w:rsidRPr="001B6244">
        <w:rPr>
          <w:sz w:val="28"/>
          <w:szCs w:val="28"/>
        </w:rPr>
        <w:t>Предприятием ООО «Саракташский мехзавод»  в отчётном  году произведено продукции на 58,1млн.руб, в т.ч. гидроагрегатов – 20шт., насосов и насосных установок – 452шт., смазочного оборудования – 433ед., продукции для РЖД – 135ед и др. Осваивается новая продукция – полюсные решётки. Вся продукция востребована.</w:t>
      </w:r>
    </w:p>
    <w:p w:rsidR="001B6244" w:rsidRPr="001B6244" w:rsidRDefault="001B6244" w:rsidP="00C16C4C">
      <w:pPr>
        <w:pStyle w:val="ae"/>
        <w:ind w:firstLine="567"/>
        <w:jc w:val="both"/>
        <w:rPr>
          <w:sz w:val="28"/>
          <w:szCs w:val="28"/>
        </w:rPr>
      </w:pPr>
      <w:r w:rsidRPr="001B6244">
        <w:rPr>
          <w:sz w:val="28"/>
          <w:szCs w:val="28"/>
        </w:rPr>
        <w:t>Предприятием  ООО «Промдеталь» произведено продукции на 18,0млн.руб. Всего за 2017год отлито 213 тонн чугунного и стального литья, или 116% к уровню предыдущего года. Продолжается работа по освоению новых видов продукции литейного производства, по модернизации и ремонту прессового оборудования.</w:t>
      </w:r>
    </w:p>
    <w:p w:rsidR="001B6244" w:rsidRPr="001B6244" w:rsidRDefault="001B6244" w:rsidP="00C16C4C">
      <w:pPr>
        <w:spacing w:line="240" w:lineRule="auto"/>
        <w:jc w:val="both"/>
        <w:rPr>
          <w:rFonts w:ascii="Times New Roman" w:hAnsi="Times New Roman"/>
          <w:sz w:val="28"/>
          <w:szCs w:val="28"/>
        </w:rPr>
      </w:pPr>
      <w:r w:rsidRPr="001B6244">
        <w:rPr>
          <w:rFonts w:ascii="Times New Roman" w:hAnsi="Times New Roman"/>
          <w:sz w:val="28"/>
          <w:szCs w:val="28"/>
        </w:rPr>
        <w:t xml:space="preserve">            На предприятиях машиностроительного комплекса (ООО «Саракташский мехзавод» и ООО «Промдеталь») постоянно ведётся работа по разработке и внедрению в производство новых видов продукции, а также по усовершенствованию и повышению качества выпускаемой, поиску новых заказчиков. </w:t>
      </w:r>
    </w:p>
    <w:p w:rsidR="001B6244" w:rsidRPr="001B6244" w:rsidRDefault="001B6244" w:rsidP="00C16C4C">
      <w:pPr>
        <w:spacing w:line="240" w:lineRule="auto"/>
        <w:ind w:firstLine="567"/>
        <w:jc w:val="both"/>
        <w:rPr>
          <w:rFonts w:ascii="Times New Roman" w:hAnsi="Times New Roman"/>
          <w:sz w:val="28"/>
          <w:szCs w:val="28"/>
        </w:rPr>
      </w:pPr>
      <w:r w:rsidRPr="001B6244">
        <w:rPr>
          <w:rFonts w:ascii="Times New Roman" w:hAnsi="Times New Roman"/>
          <w:sz w:val="28"/>
          <w:szCs w:val="28"/>
        </w:rPr>
        <w:t>Предприятие ООО «Промдеталь» планирует увеличение объёмов производства за счёт  выпуска серийной продукции: звёздочки «гризли», крышек АРС, решёток полюсных, а также за счёт изготовления прессов.</w:t>
      </w:r>
    </w:p>
    <w:p w:rsidR="001B6244" w:rsidRPr="001B6244" w:rsidRDefault="001B6244" w:rsidP="00C16C4C">
      <w:pPr>
        <w:spacing w:line="240" w:lineRule="auto"/>
        <w:ind w:firstLine="567"/>
        <w:jc w:val="both"/>
        <w:rPr>
          <w:rFonts w:ascii="Times New Roman" w:hAnsi="Times New Roman"/>
          <w:sz w:val="28"/>
          <w:szCs w:val="28"/>
        </w:rPr>
      </w:pPr>
      <w:r w:rsidRPr="001B6244">
        <w:rPr>
          <w:rFonts w:ascii="Times New Roman" w:hAnsi="Times New Roman"/>
          <w:sz w:val="28"/>
          <w:szCs w:val="28"/>
        </w:rPr>
        <w:t xml:space="preserve">Рост объёмов производства на ООО «Мехзавод» в прогнозируемом периоде </w:t>
      </w:r>
      <w:r w:rsidR="009B2419">
        <w:rPr>
          <w:rFonts w:ascii="Times New Roman" w:hAnsi="Times New Roman"/>
          <w:sz w:val="28"/>
          <w:szCs w:val="28"/>
        </w:rPr>
        <w:t>планируется</w:t>
      </w:r>
      <w:r w:rsidRPr="001B6244">
        <w:rPr>
          <w:rFonts w:ascii="Times New Roman" w:hAnsi="Times New Roman"/>
          <w:sz w:val="28"/>
          <w:szCs w:val="28"/>
        </w:rPr>
        <w:t xml:space="preserve"> за счёт обновления станочного парка, что позволит увеличить количество и качество выпускаемой продукции.</w:t>
      </w:r>
    </w:p>
    <w:p w:rsidR="009B2419" w:rsidRPr="009B2419" w:rsidRDefault="001B6244" w:rsidP="00C16C4C">
      <w:pPr>
        <w:spacing w:line="240" w:lineRule="auto"/>
        <w:ind w:firstLine="567"/>
        <w:jc w:val="both"/>
        <w:rPr>
          <w:rFonts w:ascii="Times New Roman" w:hAnsi="Times New Roman"/>
          <w:sz w:val="28"/>
          <w:szCs w:val="28"/>
        </w:rPr>
      </w:pPr>
      <w:r w:rsidRPr="001B6244">
        <w:rPr>
          <w:rFonts w:ascii="Times New Roman" w:hAnsi="Times New Roman"/>
          <w:sz w:val="28"/>
          <w:szCs w:val="28"/>
        </w:rPr>
        <w:t xml:space="preserve">  </w:t>
      </w:r>
      <w:r w:rsidR="009B2419" w:rsidRPr="009B2419">
        <w:rPr>
          <w:rFonts w:ascii="Times New Roman" w:hAnsi="Times New Roman"/>
          <w:sz w:val="28"/>
          <w:szCs w:val="28"/>
        </w:rPr>
        <w:t>В  ООО «Водоканал» планируется рост объемов водоснабжения за счёт принятия водопроводных сетей РЖД, водоотведения – за счёт расширения мощностей производства на ООО «Оренбив». Второй этап планируется с вводом в эксплуатацию построенного водопровода в с. Черный Отрог и соответственно увеличения разбора воды потребителями на хозяйственно-бытовые нужды.</w:t>
      </w:r>
    </w:p>
    <w:p w:rsidR="009B2419" w:rsidRPr="009B2419" w:rsidRDefault="009B2419" w:rsidP="00C16C4C">
      <w:pPr>
        <w:spacing w:line="240" w:lineRule="auto"/>
        <w:ind w:firstLine="567"/>
        <w:jc w:val="both"/>
        <w:rPr>
          <w:rFonts w:ascii="Times New Roman" w:hAnsi="Times New Roman"/>
          <w:sz w:val="28"/>
          <w:szCs w:val="28"/>
        </w:rPr>
      </w:pPr>
      <w:r w:rsidRPr="009B2419">
        <w:rPr>
          <w:rFonts w:ascii="Times New Roman" w:hAnsi="Times New Roman"/>
          <w:sz w:val="28"/>
          <w:szCs w:val="28"/>
        </w:rPr>
        <w:t>Практически все предприятия поселка  прогнозируют рост объемов отгруженных товаров собственного производства: ООО «Саракташский консервный завод» (по 1 варианту – 110,1%, по 2 варианту – 112,3, ООО «Промдеталь» (104,2%-105,2%), ООО «Теплосеть» (99,2%-100,7%), ООО «Водоканал» (100,3% - 101,1%). Практически на уровне  текущего года планируется сохранить производство на ООО «Саракташский механический завод».</w:t>
      </w:r>
    </w:p>
    <w:p w:rsidR="009B2419" w:rsidRPr="009B2419" w:rsidRDefault="009B2419" w:rsidP="00C16C4C">
      <w:pPr>
        <w:spacing w:line="240" w:lineRule="auto"/>
        <w:ind w:firstLine="567"/>
        <w:jc w:val="both"/>
        <w:rPr>
          <w:rFonts w:ascii="Times New Roman" w:hAnsi="Times New Roman"/>
          <w:sz w:val="28"/>
          <w:szCs w:val="28"/>
        </w:rPr>
      </w:pPr>
      <w:r w:rsidRPr="009B2419">
        <w:rPr>
          <w:rFonts w:ascii="Times New Roman" w:hAnsi="Times New Roman"/>
          <w:sz w:val="28"/>
          <w:szCs w:val="28"/>
        </w:rPr>
        <w:t xml:space="preserve">  В 2019-2024 гг.  на промышленных предприятиях поселка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w:t>
      </w:r>
      <w:r w:rsidRPr="009B2419">
        <w:rPr>
          <w:rFonts w:ascii="Times New Roman" w:hAnsi="Times New Roman"/>
          <w:sz w:val="28"/>
          <w:szCs w:val="28"/>
        </w:rPr>
        <w:lastRenderedPageBreak/>
        <w:t>сырья, что  позволит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9B2419" w:rsidRPr="009B2419" w:rsidRDefault="009B2419" w:rsidP="00C16C4C">
      <w:pPr>
        <w:shd w:val="clear" w:color="auto" w:fill="FFFFFF"/>
        <w:spacing w:line="240" w:lineRule="auto"/>
        <w:ind w:right="24"/>
        <w:jc w:val="center"/>
        <w:rPr>
          <w:rFonts w:ascii="Times New Roman" w:hAnsi="Times New Roman"/>
          <w:b/>
          <w:bCs/>
          <w:spacing w:val="2"/>
          <w:sz w:val="28"/>
          <w:szCs w:val="28"/>
        </w:rPr>
      </w:pPr>
      <w:r w:rsidRPr="009B2419">
        <w:rPr>
          <w:rFonts w:ascii="Times New Roman" w:hAnsi="Times New Roman"/>
          <w:b/>
          <w:bCs/>
          <w:spacing w:val="2"/>
          <w:sz w:val="28"/>
          <w:szCs w:val="28"/>
        </w:rPr>
        <w:t>ИНВЕСТИЦИИ</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На территории муниципального образования создается благоприятный инвестиционный и предпринимательский климат.</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Продолжится вложение инвестиций в обрабатывающие производства –обновление станочного парка в ООО «Саракташский механический  завод». ПК «Саракташский консервный завод»  планирует произвести замену оборудования технологической линии по производству консервов, приобрести технологическую линию для овощной консервации, оборудование для водоподготовки и другое технологическое оборудование, которое позволит улучшить качество и привлекательность продукции.</w:t>
      </w:r>
    </w:p>
    <w:p w:rsidR="009B2419" w:rsidRPr="009B2419" w:rsidRDefault="009B2419" w:rsidP="00C16C4C">
      <w:pPr>
        <w:spacing w:line="240" w:lineRule="auto"/>
        <w:jc w:val="center"/>
        <w:rPr>
          <w:rFonts w:ascii="Times New Roman" w:hAnsi="Times New Roman"/>
          <w:b/>
          <w:color w:val="000000"/>
          <w:sz w:val="28"/>
          <w:szCs w:val="28"/>
        </w:rPr>
      </w:pPr>
      <w:r w:rsidRPr="009B2419">
        <w:rPr>
          <w:rFonts w:ascii="Times New Roman" w:hAnsi="Times New Roman"/>
          <w:b/>
          <w:color w:val="000000"/>
          <w:sz w:val="28"/>
          <w:szCs w:val="28"/>
        </w:rPr>
        <w:t>ЖИЛИЩНОЕ СТРОИТЕЛЬСТВО</w:t>
      </w:r>
    </w:p>
    <w:p w:rsidR="009B2419" w:rsidRPr="009B2419" w:rsidRDefault="009B2419" w:rsidP="00C16C4C">
      <w:pPr>
        <w:spacing w:line="240" w:lineRule="auto"/>
        <w:jc w:val="both"/>
        <w:rPr>
          <w:rFonts w:ascii="Times New Roman" w:hAnsi="Times New Roman"/>
          <w:color w:val="000000"/>
          <w:sz w:val="28"/>
          <w:szCs w:val="28"/>
        </w:rPr>
      </w:pPr>
      <w:r w:rsidRPr="009B2419">
        <w:rPr>
          <w:rFonts w:ascii="Times New Roman" w:hAnsi="Times New Roman"/>
          <w:color w:val="000000"/>
          <w:sz w:val="28"/>
          <w:szCs w:val="28"/>
        </w:rPr>
        <w:t xml:space="preserve">      Строительство в </w:t>
      </w:r>
      <w:r w:rsidRPr="009B2419">
        <w:rPr>
          <w:rFonts w:ascii="Times New Roman" w:hAnsi="Times New Roman"/>
          <w:sz w:val="28"/>
          <w:szCs w:val="28"/>
        </w:rPr>
        <w:t>поселк</w:t>
      </w:r>
      <w:r w:rsidRPr="009B2419">
        <w:rPr>
          <w:rFonts w:ascii="Times New Roman" w:hAnsi="Times New Roman"/>
          <w:color w:val="000000"/>
          <w:sz w:val="28"/>
          <w:szCs w:val="28"/>
        </w:rPr>
        <w:t xml:space="preserve">е по-прежнему остается приоритетным направлением. В качестве первоочередных решаются вопросы  строительства жилья,  объектов социальной инфраструктуры,  ЖКХ и благоустройства.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color w:val="000000"/>
          <w:sz w:val="28"/>
          <w:szCs w:val="28"/>
        </w:rPr>
        <w:t xml:space="preserve">      Выполнение программных мероприятий позволило значительно улучшить жилищные условия отдельных категорий граждан. Так, социальные выплаты получили 7 молодых семей,  2 вдовы участников Великой Отечественной войны, 1 инвалид, страдающих тяжелой формой хронических заболеваний и др. В 2017 году  для обеспечения жильём детей-сирот приобретены 29 квартир, </w:t>
      </w:r>
      <w:r w:rsidRPr="009B2419">
        <w:rPr>
          <w:rFonts w:ascii="Times New Roman" w:hAnsi="Times New Roman"/>
          <w:sz w:val="28"/>
          <w:szCs w:val="28"/>
        </w:rPr>
        <w:t xml:space="preserve">завершена муниципальная адресная Программа по переселению граждан Саракташского поссовета из аварийного жилищного фонда. </w:t>
      </w:r>
    </w:p>
    <w:p w:rsidR="009B2419" w:rsidRPr="009B2419" w:rsidRDefault="009B2419" w:rsidP="00C16C4C">
      <w:pPr>
        <w:spacing w:line="240" w:lineRule="auto"/>
        <w:ind w:firstLine="709"/>
        <w:jc w:val="both"/>
        <w:rPr>
          <w:rFonts w:ascii="Times New Roman" w:hAnsi="Times New Roman"/>
          <w:sz w:val="28"/>
          <w:szCs w:val="28"/>
        </w:rPr>
      </w:pPr>
      <w:r w:rsidRPr="009B2419">
        <w:rPr>
          <w:rFonts w:ascii="Times New Roman" w:hAnsi="Times New Roman"/>
          <w:color w:val="000000"/>
          <w:sz w:val="28"/>
          <w:szCs w:val="28"/>
        </w:rPr>
        <w:t xml:space="preserve">За 2017 год при поддержке Фонда переселен 151 человек из 70 аварийных помещений, площадью 2205,4 кв.м.  </w:t>
      </w:r>
      <w:r w:rsidRPr="009B2419">
        <w:rPr>
          <w:rFonts w:ascii="Times New Roman" w:hAnsi="Times New Roman"/>
          <w:sz w:val="28"/>
          <w:szCs w:val="28"/>
        </w:rPr>
        <w:t>Снесено 6 аварийных домов (ул. Суворова, 3, ул. Депутатская 39, ул. Советская 16, ул. Советская 22, ул. Элеваторная 2, пер. Рыбный 37).  Переселено 70 семей в новые дома по ул. Семафорная 4, пер. Школьный 6, ул. Мира д.19.</w:t>
      </w:r>
    </w:p>
    <w:p w:rsidR="009B2419" w:rsidRPr="009B2419" w:rsidRDefault="009B2419" w:rsidP="00C16C4C">
      <w:pPr>
        <w:spacing w:line="240" w:lineRule="auto"/>
        <w:jc w:val="both"/>
        <w:rPr>
          <w:rFonts w:ascii="Times New Roman" w:hAnsi="Times New Roman"/>
          <w:color w:val="000000"/>
          <w:sz w:val="28"/>
          <w:szCs w:val="28"/>
        </w:rPr>
      </w:pPr>
      <w:r w:rsidRPr="009B2419">
        <w:rPr>
          <w:rFonts w:ascii="Times New Roman" w:hAnsi="Times New Roman"/>
          <w:color w:val="000000"/>
          <w:sz w:val="28"/>
          <w:szCs w:val="28"/>
        </w:rPr>
        <w:t xml:space="preserve">      При этом объём долевого финансирования Программы составил  65 млн. руб., из них средства Фонда – 29 млн. руб., средства областного бюджета - 35 млн. руб. Средства Саракташского поссовета - около 463 701 руб., кроме этого 10 390 543 руб. направлены на дополнительные метры. </w:t>
      </w:r>
    </w:p>
    <w:p w:rsidR="009B2419" w:rsidRPr="009B2419" w:rsidRDefault="009B2419" w:rsidP="00C16C4C">
      <w:pPr>
        <w:spacing w:line="240" w:lineRule="auto"/>
        <w:ind w:right="-2"/>
        <w:jc w:val="both"/>
        <w:rPr>
          <w:rFonts w:ascii="Times New Roman" w:hAnsi="Times New Roman"/>
          <w:color w:val="000000"/>
          <w:sz w:val="28"/>
          <w:szCs w:val="28"/>
        </w:rPr>
      </w:pPr>
      <w:r w:rsidRPr="009B2419">
        <w:rPr>
          <w:rFonts w:ascii="Times New Roman" w:hAnsi="Times New Roman"/>
          <w:sz w:val="28"/>
          <w:szCs w:val="28"/>
        </w:rPr>
        <w:t xml:space="preserve">    </w:t>
      </w:r>
      <w:r w:rsidRPr="009B2419">
        <w:rPr>
          <w:rFonts w:ascii="Times New Roman" w:hAnsi="Times New Roman"/>
          <w:color w:val="000000"/>
          <w:sz w:val="28"/>
          <w:szCs w:val="28"/>
        </w:rPr>
        <w:t xml:space="preserve"> 2018 год:</w:t>
      </w:r>
    </w:p>
    <w:p w:rsidR="009B2419" w:rsidRPr="009B2419" w:rsidRDefault="009B2419" w:rsidP="00C16C4C">
      <w:pPr>
        <w:spacing w:line="240" w:lineRule="auto"/>
        <w:ind w:right="-2"/>
        <w:jc w:val="both"/>
        <w:rPr>
          <w:rFonts w:ascii="Times New Roman" w:hAnsi="Times New Roman"/>
          <w:color w:val="000000"/>
          <w:sz w:val="28"/>
          <w:szCs w:val="28"/>
        </w:rPr>
      </w:pPr>
      <w:r w:rsidRPr="009B2419">
        <w:rPr>
          <w:rFonts w:ascii="Times New Roman" w:hAnsi="Times New Roman"/>
          <w:color w:val="000000"/>
          <w:sz w:val="28"/>
          <w:szCs w:val="28"/>
        </w:rPr>
        <w:t xml:space="preserve">       Проведен ямочный ремонт дорог с асфальто-бетонным покрытием на сумму 1 179,5 тыс. руб.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color w:val="000000"/>
          <w:sz w:val="28"/>
          <w:szCs w:val="28"/>
        </w:rPr>
        <w:t xml:space="preserve"> </w:t>
      </w:r>
      <w:r w:rsidRPr="009B2419">
        <w:rPr>
          <w:rFonts w:ascii="Times New Roman" w:hAnsi="Times New Roman"/>
          <w:sz w:val="28"/>
          <w:szCs w:val="28"/>
        </w:rPr>
        <w:t>Дорожное хозяйство – 13 722 057, 66 руб., исполнено на 82,4%, из них:</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lastRenderedPageBreak/>
        <w:t xml:space="preserve">        Уличное освещение - 4 501 168 руб.45 коп., приобретение материалов (электротовары на ул. освещение) - 637 781 руб.74 коп.</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Содержание и ремонт дорог - 5 798 751 руб.19 коп. (Содержание дорог в зимний период – заключен контракт с ИП Сироткин на сумму 2 930 650 руб, исполнено на сумму - 1 984 294, 19 руб.)</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Безопасность дорожного движения: обслуживание светофора, разметка, исскуственные неровности, дорожные знаки – 1 051 668 руб.</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Оплачена работа по асфальтобетонному покрытию по ул. Мира в сумме 8 308 191 руб. (7 166 000,0 руб. - областной бюджет, 1 141 591,0 руб. -местный бюджет)</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Жилищно-коммунальное хозяйство – исполнение 60,2%, в т. ч. жилищное хозяйство - исполнение 99,4% (капиртальный ремонт в отношении помещений, собственники которых являются органы местного самоуправления, 1 942 200 руб - оплата по определению суда от 12.09.2018 путем выкупа жилого помещения в аварийном доме).</w:t>
      </w:r>
    </w:p>
    <w:p w:rsidR="009B2419" w:rsidRPr="009B2419" w:rsidRDefault="009B2419" w:rsidP="00C16C4C">
      <w:pPr>
        <w:spacing w:line="240" w:lineRule="auto"/>
        <w:ind w:firstLine="567"/>
        <w:jc w:val="both"/>
        <w:rPr>
          <w:rFonts w:ascii="Times New Roman" w:hAnsi="Times New Roman"/>
          <w:sz w:val="28"/>
          <w:szCs w:val="28"/>
        </w:rPr>
      </w:pPr>
      <w:r w:rsidRPr="009B2419">
        <w:rPr>
          <w:rFonts w:ascii="Times New Roman" w:hAnsi="Times New Roman"/>
          <w:sz w:val="28"/>
          <w:szCs w:val="28"/>
        </w:rPr>
        <w:t>В рамках реализации программы газификации Оренбургской области на 2017-2021гг. строительтсво объекта «Газопровод в мкрн. Западный в п. Саракташ» запланировано на 2018-2019 годы. Выполнение проектно-изыскательских работ запланировано на 1 кв. 2019г., строительно-монтажных работ – 2-3 кв. 2019г.</w:t>
      </w:r>
    </w:p>
    <w:p w:rsidR="009B2419" w:rsidRPr="009B2419" w:rsidRDefault="009B2419" w:rsidP="00C16C4C">
      <w:pPr>
        <w:spacing w:line="240" w:lineRule="auto"/>
        <w:ind w:firstLine="567"/>
        <w:jc w:val="both"/>
        <w:rPr>
          <w:rFonts w:ascii="Times New Roman" w:hAnsi="Times New Roman"/>
          <w:sz w:val="28"/>
          <w:szCs w:val="28"/>
        </w:rPr>
      </w:pPr>
      <w:r w:rsidRPr="009B2419">
        <w:rPr>
          <w:rFonts w:ascii="Times New Roman" w:hAnsi="Times New Roman"/>
          <w:sz w:val="28"/>
          <w:szCs w:val="28"/>
        </w:rPr>
        <w:t xml:space="preserve">Согласно муниципальной программе «Формирование современной городской среды МО Саракташский поссовет Саракташского района Оренбургской области» на 2018-2022 годы, проведены работы по благоустройству дворовой территории многоквартирных домов, расположенных по адресу: п. Саракташ, ул. Чапаева, д. 85, 89, ул. Трудовая, д. 8, 10 на общую сумму 5 477 011,28 руб.  </w:t>
      </w:r>
    </w:p>
    <w:p w:rsidR="009B2419" w:rsidRPr="009B2419" w:rsidRDefault="009B2419" w:rsidP="00C16C4C">
      <w:pPr>
        <w:spacing w:line="240" w:lineRule="auto"/>
        <w:ind w:firstLine="567"/>
        <w:jc w:val="both"/>
        <w:rPr>
          <w:rFonts w:ascii="Times New Roman" w:hAnsi="Times New Roman"/>
          <w:sz w:val="28"/>
          <w:szCs w:val="28"/>
        </w:rPr>
      </w:pPr>
      <w:r w:rsidRPr="009B2419">
        <w:rPr>
          <w:rFonts w:ascii="Times New Roman" w:hAnsi="Times New Roman"/>
          <w:sz w:val="28"/>
          <w:szCs w:val="28"/>
        </w:rPr>
        <w:t>В 2019 году начнется работа по пограмме «Переселение граждан из ветхого аварийного жилья». В планах на переселение 10 домов</w:t>
      </w:r>
      <w:r w:rsidR="00EB06F7">
        <w:rPr>
          <w:rFonts w:ascii="Times New Roman" w:hAnsi="Times New Roman"/>
          <w:sz w:val="28"/>
          <w:szCs w:val="28"/>
        </w:rPr>
        <w:t xml:space="preserve"> (88 квартир)</w:t>
      </w:r>
      <w:r w:rsidRPr="009B2419">
        <w:rPr>
          <w:rFonts w:ascii="Times New Roman" w:hAnsi="Times New Roman"/>
          <w:sz w:val="28"/>
          <w:szCs w:val="28"/>
        </w:rPr>
        <w:t>.</w:t>
      </w:r>
    </w:p>
    <w:p w:rsidR="009B2419" w:rsidRPr="009B2419" w:rsidRDefault="009B2419" w:rsidP="00C16C4C">
      <w:pPr>
        <w:pStyle w:val="ac"/>
        <w:spacing w:line="240" w:lineRule="auto"/>
        <w:jc w:val="center"/>
        <w:rPr>
          <w:rFonts w:ascii="Times New Roman" w:hAnsi="Times New Roman"/>
          <w:b/>
          <w:color w:val="000000"/>
          <w:sz w:val="28"/>
          <w:szCs w:val="28"/>
        </w:rPr>
      </w:pPr>
      <w:r w:rsidRPr="009B2419">
        <w:rPr>
          <w:rFonts w:ascii="Times New Roman" w:hAnsi="Times New Roman"/>
          <w:b/>
          <w:color w:val="000000"/>
          <w:sz w:val="28"/>
          <w:szCs w:val="28"/>
        </w:rPr>
        <w:t>РЫНОК ТОВАРОВ И УСЛУГ</w:t>
      </w:r>
    </w:p>
    <w:p w:rsidR="009B2419" w:rsidRPr="009B2419" w:rsidRDefault="009B2419" w:rsidP="00C16C4C">
      <w:pPr>
        <w:spacing w:line="240" w:lineRule="auto"/>
        <w:ind w:firstLine="720"/>
        <w:jc w:val="both"/>
        <w:rPr>
          <w:rFonts w:ascii="Times New Roman" w:hAnsi="Times New Roman"/>
          <w:sz w:val="28"/>
          <w:szCs w:val="28"/>
        </w:rPr>
      </w:pPr>
      <w:r w:rsidRPr="009B2419">
        <w:rPr>
          <w:rFonts w:ascii="Times New Roman" w:hAnsi="Times New Roman"/>
          <w:sz w:val="28"/>
          <w:szCs w:val="28"/>
        </w:rPr>
        <w:t>На протяжении последних десяти лет торговля была одной из наиболее динамично развивающихся отраслей экономики поселка. В перспективе доля продажи на рынках будет  иметь тенденцию к снижению, т.е. торговля будет постепенно становиться более организованной и цивилизованной.</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Основные задачи – это создание благоприятных условий для развития торговли, удовлетворение потребностей населения в качественных товарах и услугах. </w:t>
      </w:r>
    </w:p>
    <w:p w:rsidR="009B2419" w:rsidRPr="009B2419" w:rsidRDefault="009B2419" w:rsidP="00C16C4C">
      <w:pPr>
        <w:spacing w:line="240" w:lineRule="auto"/>
        <w:ind w:firstLine="709"/>
        <w:jc w:val="both"/>
        <w:rPr>
          <w:rFonts w:ascii="Times New Roman" w:hAnsi="Times New Roman"/>
          <w:sz w:val="28"/>
          <w:szCs w:val="28"/>
        </w:rPr>
      </w:pPr>
      <w:r w:rsidRPr="009B2419">
        <w:rPr>
          <w:rFonts w:ascii="Times New Roman" w:hAnsi="Times New Roman"/>
          <w:sz w:val="28"/>
          <w:szCs w:val="28"/>
        </w:rPr>
        <w:t>Отмечаем, что в поселке развита сеть предприятий торговли, что  позволяет обеспечивать потребность населения в товарах.</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структуре розничной торговли наибольшая активность сохраняется в деятельности сетевых компаний. На сегодняшний день работают сетевые магазины со смешанным ассортиментом товаров -  Магнит (4 точки),  </w:t>
      </w:r>
      <w:r w:rsidRPr="009B2419">
        <w:rPr>
          <w:rFonts w:ascii="Times New Roman" w:hAnsi="Times New Roman"/>
          <w:sz w:val="28"/>
          <w:szCs w:val="28"/>
        </w:rPr>
        <w:lastRenderedPageBreak/>
        <w:t>Пятёрочка (2 точки),  по торговле алкогольной продукцией - Красное и Белое,  Совин, бытовой техники – Эксперт и Позитроника, по торговле промышленными товарами – Арзан, по торговле сотовыми телефонами – Евросеть, Билайн, Мегафон, МТС,  по торговле лекарственными препаратами – Оренлек, Имплозия и др.</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Продолжается строительство новых магазинов, отвечающих современным требованиям, имеющих новое технологическое оборудование.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объёме предлагаемых на рынке товарных ресурсов повышается роль местных товаропроизводителей: ПК «Саракташский консервный завод», ООО «Степь», ООО «Хлебопродукт – 3», ООО «Герет-Агро», цех по производству хлебобулочных и кондитерских изделий ПО «Саракташское», сеть магазинов «Свежая выпечка», цех хлебобулочных изделий ООО «Саракташский элеватор», колхоз «Красногорский»,  и др. Продукция этих предприятий отличается хорошими вкусовыми качествами, доступна широкому кругу населения и составляет достойную конкуренцию производителям из других регионов. Их доля составляет около 25%.</w:t>
      </w:r>
    </w:p>
    <w:p w:rsidR="009B2419" w:rsidRPr="009B2419" w:rsidRDefault="009B2419" w:rsidP="00C16C4C">
      <w:pPr>
        <w:spacing w:line="240" w:lineRule="auto"/>
        <w:ind w:firstLine="709"/>
        <w:jc w:val="both"/>
        <w:rPr>
          <w:rFonts w:ascii="Times New Roman" w:hAnsi="Times New Roman"/>
          <w:sz w:val="28"/>
          <w:szCs w:val="28"/>
        </w:rPr>
      </w:pPr>
      <w:r w:rsidRPr="009B2419">
        <w:rPr>
          <w:rFonts w:ascii="Times New Roman" w:hAnsi="Times New Roman"/>
          <w:sz w:val="28"/>
          <w:szCs w:val="28"/>
        </w:rPr>
        <w:t xml:space="preserve">Удельный вес сетевых предприятий в отчётном году  вырос до 29,6% общем объеме оборота розничной торговли за счёт открытия очередного сетевого продуктового магазина «Пятерочка», В перспективе удельный вес будет расти: в 2018г. – 29,8%, 2019г. – 29,9,%, 2020г. – 30,0%. Федеральные и региональные торговые сети формируют ценовую политику на потребительском рынке поселка.  </w:t>
      </w:r>
    </w:p>
    <w:p w:rsidR="009B2419" w:rsidRPr="009B2419" w:rsidRDefault="009B2419" w:rsidP="00C16C4C">
      <w:pPr>
        <w:spacing w:line="240" w:lineRule="auto"/>
        <w:ind w:firstLine="720"/>
        <w:jc w:val="both"/>
        <w:rPr>
          <w:rFonts w:ascii="Times New Roman" w:hAnsi="Times New Roman"/>
          <w:sz w:val="28"/>
          <w:szCs w:val="28"/>
        </w:rPr>
      </w:pPr>
      <w:r w:rsidRPr="009B2419">
        <w:rPr>
          <w:rFonts w:ascii="Times New Roman" w:hAnsi="Times New Roman"/>
          <w:sz w:val="28"/>
          <w:szCs w:val="28"/>
        </w:rPr>
        <w:t xml:space="preserve">Более разнообразными становятся формы торгового обслуживания. Появилась возможность приобретать товары по пластиковым картам в ряде магазинов п. Саракташ. </w:t>
      </w:r>
    </w:p>
    <w:p w:rsidR="009B2419" w:rsidRPr="009B2419" w:rsidRDefault="009B2419" w:rsidP="00C16C4C">
      <w:pPr>
        <w:spacing w:line="240" w:lineRule="auto"/>
        <w:ind w:firstLine="720"/>
        <w:jc w:val="both"/>
        <w:rPr>
          <w:rFonts w:ascii="Times New Roman" w:hAnsi="Times New Roman"/>
          <w:sz w:val="28"/>
          <w:szCs w:val="28"/>
        </w:rPr>
      </w:pPr>
      <w:r w:rsidRPr="009B2419">
        <w:rPr>
          <w:rFonts w:ascii="Times New Roman" w:hAnsi="Times New Roman"/>
          <w:sz w:val="28"/>
          <w:szCs w:val="28"/>
        </w:rPr>
        <w:t>Современный потребительский рынок достаточно насыщен разнообразными продовольственными и непродовольственными товарами. Товарного дефицита в поселке практически нет.</w:t>
      </w:r>
    </w:p>
    <w:p w:rsidR="009B2419" w:rsidRPr="009B2419" w:rsidRDefault="009B2419" w:rsidP="00C16C4C">
      <w:pPr>
        <w:spacing w:line="240" w:lineRule="auto"/>
        <w:ind w:firstLine="720"/>
        <w:jc w:val="both"/>
        <w:rPr>
          <w:rFonts w:ascii="Times New Roman" w:hAnsi="Times New Roman"/>
          <w:sz w:val="28"/>
          <w:szCs w:val="28"/>
        </w:rPr>
      </w:pPr>
      <w:r w:rsidRPr="009B2419">
        <w:rPr>
          <w:rFonts w:ascii="Times New Roman" w:hAnsi="Times New Roman"/>
          <w:sz w:val="28"/>
          <w:szCs w:val="28"/>
        </w:rPr>
        <w:t xml:space="preserve">В поселке функционирует 1 сельскохозяйственный рынок ПО «Коопзаготпромторг», площадью 5,2 тыс.кв. м. на 375 торговых мест, из них   190 мест выделено гражданам, ведущим фермерские и личные подсобные хозяйства, занимающиеся садоводством, огородничеством и животноводством. </w:t>
      </w:r>
    </w:p>
    <w:p w:rsidR="009B2419" w:rsidRPr="009B2419" w:rsidRDefault="009B2419" w:rsidP="00C16C4C">
      <w:pPr>
        <w:spacing w:line="240" w:lineRule="auto"/>
        <w:ind w:firstLine="709"/>
        <w:jc w:val="both"/>
        <w:rPr>
          <w:rFonts w:ascii="Times New Roman" w:hAnsi="Times New Roman"/>
          <w:sz w:val="28"/>
          <w:szCs w:val="28"/>
        </w:rPr>
      </w:pPr>
      <w:r w:rsidRPr="009B2419">
        <w:rPr>
          <w:rFonts w:ascii="Times New Roman" w:hAnsi="Times New Roman"/>
          <w:sz w:val="28"/>
          <w:szCs w:val="28"/>
        </w:rPr>
        <w:t xml:space="preserve">    По мере роста доходов населения и восстановления потребительского кредитования в 2019 – 2024</w:t>
      </w:r>
      <w:r w:rsidRPr="009B2419">
        <w:rPr>
          <w:rFonts w:ascii="Times New Roman" w:hAnsi="Times New Roman"/>
          <w:sz w:val="28"/>
          <w:szCs w:val="28"/>
          <w:lang w:val="en-US"/>
        </w:rPr>
        <w:t> </w:t>
      </w:r>
      <w:r w:rsidRPr="009B2419">
        <w:rPr>
          <w:rFonts w:ascii="Times New Roman" w:hAnsi="Times New Roman"/>
          <w:sz w:val="28"/>
          <w:szCs w:val="28"/>
        </w:rPr>
        <w:t>гг. динамика потребления населения будет восстанавливаться. Прогнозируется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2019–2024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lastRenderedPageBreak/>
        <w:t xml:space="preserve">Несмотря на положительную динамику, в развитии торговли  немало проблем: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не во всех торговых точках представлена продукция  местных производителей;</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дефицит квалифицированных кадров, что влияет на качество обслуживания населения;</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ряд торговых объектов не оформлены, имеет место торговля на дому;</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имеет место применение наёмного труда без оформления;</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отсутствуют кнопки вызова и пандусы для людей с ограниченными возможностями и др.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Поэтому  основные задачи, которые стоят перед органами власти – это создание благоприятных условий для развития торговли, удовлетворение потребностей населения в качественных товарах и услугах, поддержка местных товаропроизводителей с целью повышения конкурентноспособности, обеспечения качества и безопасности пищевых продуктов на потребительском рынке.</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структуре платных услуг наибольший удельный вес занимают жилищно-коммунальные услуги, транспортные, связи, бытовые. Традиционно лидерство в структуре объёма бытовых услуг сохраняется за услугами по ремонту и строительству  жилья,  по ремонту и техническому обслуживанию автотранспортных средств, грузоперевозкам, фотоуслугам и услугам парикмахерских</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Пока отсутствуют в поселке услуги проката, прачечные, химчистка  и развитие этих услуг должно получить приоритетное значение. Рост ожидается по таким видам услуг как связь, жилищно-коммунальные услуги, культуры и физической культуры – за счёт увеличения числа получателей услуг,  образование - за счёт  репетиторства, медицинских -  за счёт работы физиотерапевтического отделения (спелеошахта, массаж, гидромассаж, гирудотерапия, грязелечение, лечебная физкультура и др.), а также работы двух частных стоматологических клиник: ООО «Медуница» и ООО «Современная стоматология» и частной лаборатории «Инвитро».</w:t>
      </w:r>
    </w:p>
    <w:p w:rsidR="009B2419" w:rsidRPr="009B2419" w:rsidRDefault="009B2419" w:rsidP="00C16C4C">
      <w:pPr>
        <w:spacing w:line="240" w:lineRule="auto"/>
        <w:ind w:firstLine="708"/>
        <w:jc w:val="both"/>
        <w:rPr>
          <w:rFonts w:ascii="Times New Roman" w:hAnsi="Times New Roman"/>
          <w:sz w:val="28"/>
          <w:szCs w:val="28"/>
        </w:rPr>
      </w:pPr>
      <w:r w:rsidRPr="009B2419">
        <w:rPr>
          <w:rFonts w:ascii="Times New Roman" w:hAnsi="Times New Roman"/>
          <w:sz w:val="28"/>
          <w:szCs w:val="28"/>
        </w:rPr>
        <w:t xml:space="preserve"> Снижение ожидается по бытовым,  транспортным услугам, ветеринарным, услугам правового характера.</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С 2019 года прогнозируется улучшение ситуации на рынке оказания услуг населению за счет замедления инфляционных процессов. Данная ситуация положительно скажется на динамике показателей платных услуг. Прогнозируется небольшое увеличение  практически всех видов услуг.  Структура платных услуг населению существенно не изменится. По-прежнему около 90% от общего объема расходов на услуги население будет направлять на услуги «обязательного» характера: транспортные, связи, жилищно-коммунальные и бытовые.</w:t>
      </w:r>
      <w:r w:rsidRPr="009B2419">
        <w:rPr>
          <w:rFonts w:ascii="Times New Roman" w:hAnsi="Times New Roman"/>
          <w:sz w:val="28"/>
          <w:szCs w:val="28"/>
        </w:rPr>
        <w:tab/>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lastRenderedPageBreak/>
        <w:t xml:space="preserve">           Рост ожидается как за счёт увеличения объёма услуг, оказываемых уже созданными предприятиями и предпринимателями, так и за счёт открытия новых.    </w:t>
      </w:r>
    </w:p>
    <w:p w:rsidR="009B2419" w:rsidRPr="009B2419" w:rsidRDefault="009B2419" w:rsidP="00C16C4C">
      <w:pPr>
        <w:spacing w:line="240" w:lineRule="auto"/>
        <w:jc w:val="center"/>
        <w:rPr>
          <w:rFonts w:ascii="Times New Roman" w:hAnsi="Times New Roman"/>
          <w:b/>
          <w:sz w:val="28"/>
          <w:szCs w:val="28"/>
        </w:rPr>
      </w:pPr>
      <w:r w:rsidRPr="009B2419">
        <w:rPr>
          <w:rFonts w:ascii="Times New Roman" w:hAnsi="Times New Roman"/>
          <w:b/>
          <w:sz w:val="28"/>
          <w:szCs w:val="28"/>
        </w:rPr>
        <w:t>ФИНАНСЫ</w:t>
      </w:r>
    </w:p>
    <w:p w:rsidR="009B2419" w:rsidRPr="009B2419" w:rsidRDefault="009B2419" w:rsidP="00C16C4C">
      <w:pPr>
        <w:pStyle w:val="2"/>
        <w:spacing w:line="240" w:lineRule="auto"/>
        <w:jc w:val="both"/>
        <w:rPr>
          <w:rFonts w:ascii="Times New Roman" w:hAnsi="Times New Roman"/>
          <w:sz w:val="28"/>
          <w:szCs w:val="28"/>
        </w:rPr>
      </w:pPr>
      <w:r w:rsidRPr="009B2419">
        <w:rPr>
          <w:rFonts w:ascii="Times New Roman" w:hAnsi="Times New Roman"/>
          <w:sz w:val="28"/>
          <w:szCs w:val="28"/>
        </w:rPr>
        <w:t xml:space="preserve">           В текущем году в экономике поссовета сохраняется высокий уровень задолженности. Кредиторская задолженность на 01.11.2018 года составляет 12 442,5 тыс. руб. Всего за январь-октябрь в бюджет поселка поступило 65 424 901 руб., из них 32 079 098руб. – налоговые и неналоговые доходы, что составляет 49% от общего объёма доходов. Расходы бюджета составили 65 722 231 руб.</w:t>
      </w:r>
    </w:p>
    <w:p w:rsidR="009B2419" w:rsidRPr="009B2419" w:rsidRDefault="009B2419" w:rsidP="00C16C4C">
      <w:pPr>
        <w:pStyle w:val="2"/>
        <w:spacing w:line="240" w:lineRule="auto"/>
        <w:jc w:val="both"/>
        <w:rPr>
          <w:rFonts w:ascii="Times New Roman" w:hAnsi="Times New Roman"/>
          <w:sz w:val="28"/>
          <w:szCs w:val="28"/>
        </w:rPr>
      </w:pPr>
      <w:r w:rsidRPr="009B2419">
        <w:rPr>
          <w:rFonts w:ascii="Times New Roman" w:hAnsi="Times New Roman"/>
          <w:color w:val="000000"/>
          <w:sz w:val="28"/>
          <w:szCs w:val="28"/>
        </w:rPr>
        <w:t xml:space="preserve">           Повышение доходов в 2019-2024 году может быть достигнуто, как в результате увеличения производства продукции во всех отраслях, так и в результате улучшения собираемости налогов.</w:t>
      </w:r>
      <w:r w:rsidRPr="009B2419">
        <w:rPr>
          <w:rFonts w:ascii="Times New Roman" w:hAnsi="Times New Roman"/>
          <w:sz w:val="28"/>
          <w:szCs w:val="28"/>
        </w:rPr>
        <w:t xml:space="preserve"> В основу финансового баланса МО Саракташский поссовет положены показатели социально – экономического развития территории за 2016 – 2017г.г., ожидаемая оценка 2018 года и прогноз на 2019 – 2024 гг.</w:t>
      </w:r>
    </w:p>
    <w:p w:rsidR="009B2419" w:rsidRPr="009B2419" w:rsidRDefault="009B2419" w:rsidP="005173C6">
      <w:pPr>
        <w:spacing w:line="240" w:lineRule="auto"/>
        <w:jc w:val="both"/>
        <w:rPr>
          <w:rFonts w:ascii="Times New Roman" w:hAnsi="Times New Roman"/>
          <w:sz w:val="28"/>
          <w:szCs w:val="28"/>
        </w:rPr>
      </w:pPr>
      <w:r w:rsidRPr="009B2419">
        <w:rPr>
          <w:rFonts w:ascii="Times New Roman" w:hAnsi="Times New Roman"/>
          <w:sz w:val="28"/>
          <w:szCs w:val="28"/>
        </w:rPr>
        <w:t xml:space="preserve">         Межбюджетные отношения складываются не в пользу органов муниципального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730"/>
        <w:gridCol w:w="3650"/>
      </w:tblGrid>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b/>
                <w:sz w:val="28"/>
                <w:szCs w:val="28"/>
              </w:rPr>
            </w:pPr>
            <w:r w:rsidRPr="009B2419">
              <w:rPr>
                <w:rFonts w:ascii="Times New Roman" w:hAnsi="Times New Roman"/>
                <w:b/>
                <w:sz w:val="28"/>
                <w:szCs w:val="28"/>
              </w:rPr>
              <w:t>Налоговые и неналоговые доходы</w:t>
            </w:r>
          </w:p>
        </w:tc>
        <w:tc>
          <w:tcPr>
            <w:tcW w:w="2730" w:type="dxa"/>
          </w:tcPr>
          <w:p w:rsidR="009B2419" w:rsidRPr="009B2419" w:rsidRDefault="009B2419" w:rsidP="00C16C4C">
            <w:pPr>
              <w:suppressAutoHyphens/>
              <w:spacing w:line="240" w:lineRule="auto"/>
              <w:jc w:val="both"/>
              <w:rPr>
                <w:rFonts w:ascii="Times New Roman" w:hAnsi="Times New Roman"/>
                <w:b/>
                <w:sz w:val="28"/>
                <w:szCs w:val="28"/>
              </w:rPr>
            </w:pPr>
            <w:r w:rsidRPr="009B2419">
              <w:rPr>
                <w:rFonts w:ascii="Times New Roman" w:hAnsi="Times New Roman"/>
                <w:b/>
                <w:sz w:val="28"/>
                <w:szCs w:val="28"/>
              </w:rPr>
              <w:t>2017 год</w:t>
            </w:r>
          </w:p>
        </w:tc>
        <w:tc>
          <w:tcPr>
            <w:tcW w:w="3650" w:type="dxa"/>
          </w:tcPr>
          <w:p w:rsidR="009B2419" w:rsidRPr="009B2419" w:rsidRDefault="009B2419" w:rsidP="00C16C4C">
            <w:pPr>
              <w:suppressAutoHyphens/>
              <w:spacing w:line="240" w:lineRule="auto"/>
              <w:jc w:val="both"/>
              <w:rPr>
                <w:rFonts w:ascii="Times New Roman" w:hAnsi="Times New Roman"/>
                <w:b/>
                <w:sz w:val="28"/>
                <w:szCs w:val="28"/>
              </w:rPr>
            </w:pPr>
            <w:r w:rsidRPr="009B2419">
              <w:rPr>
                <w:rFonts w:ascii="Times New Roman" w:hAnsi="Times New Roman"/>
                <w:b/>
                <w:sz w:val="28"/>
                <w:szCs w:val="28"/>
              </w:rPr>
              <w:t>2018 год</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НДФЛ</w:t>
            </w:r>
          </w:p>
        </w:tc>
        <w:tc>
          <w:tcPr>
            <w:tcW w:w="273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15%</w:t>
            </w:r>
          </w:p>
        </w:tc>
        <w:tc>
          <w:tcPr>
            <w:tcW w:w="365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15%</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Налог взимаемый в связи с применением упрощенной системы налогообложения</w:t>
            </w:r>
          </w:p>
        </w:tc>
        <w:tc>
          <w:tcPr>
            <w:tcW w:w="273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10 %</w:t>
            </w:r>
          </w:p>
        </w:tc>
        <w:tc>
          <w:tcPr>
            <w:tcW w:w="365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 xml:space="preserve">Единый сельскохозяйственный </w:t>
            </w:r>
          </w:p>
        </w:tc>
        <w:tc>
          <w:tcPr>
            <w:tcW w:w="273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50%</w:t>
            </w:r>
          </w:p>
        </w:tc>
        <w:tc>
          <w:tcPr>
            <w:tcW w:w="365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50%</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Налог на имущество физических лиц</w:t>
            </w:r>
          </w:p>
        </w:tc>
        <w:tc>
          <w:tcPr>
            <w:tcW w:w="273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100%</w:t>
            </w:r>
          </w:p>
        </w:tc>
        <w:tc>
          <w:tcPr>
            <w:tcW w:w="365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100%</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Земельный налог</w:t>
            </w:r>
          </w:p>
        </w:tc>
        <w:tc>
          <w:tcPr>
            <w:tcW w:w="273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100%</w:t>
            </w:r>
          </w:p>
        </w:tc>
        <w:tc>
          <w:tcPr>
            <w:tcW w:w="365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100%</w:t>
            </w:r>
          </w:p>
        </w:tc>
      </w:tr>
      <w:tr w:rsidR="009B2419" w:rsidRPr="009B2419" w:rsidTr="00B53733">
        <w:tc>
          <w:tcPr>
            <w:tcW w:w="3190" w:type="dxa"/>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Акцизы</w:t>
            </w:r>
          </w:p>
        </w:tc>
        <w:tc>
          <w:tcPr>
            <w:tcW w:w="6380" w:type="dxa"/>
            <w:gridSpan w:val="2"/>
          </w:tcPr>
          <w:p w:rsidR="009B2419" w:rsidRPr="009B2419" w:rsidRDefault="009B2419" w:rsidP="00C16C4C">
            <w:pPr>
              <w:suppressAutoHyphens/>
              <w:spacing w:line="240" w:lineRule="auto"/>
              <w:jc w:val="both"/>
              <w:rPr>
                <w:rFonts w:ascii="Times New Roman" w:hAnsi="Times New Roman"/>
                <w:sz w:val="28"/>
                <w:szCs w:val="28"/>
              </w:rPr>
            </w:pPr>
            <w:r w:rsidRPr="009B2419">
              <w:rPr>
                <w:rFonts w:ascii="Times New Roman" w:hAnsi="Times New Roman"/>
                <w:sz w:val="28"/>
                <w:szCs w:val="28"/>
              </w:rPr>
              <w:t>Расчет по коэффициенту</w:t>
            </w:r>
          </w:p>
        </w:tc>
      </w:tr>
    </w:tbl>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Доходная часть формируется за счет налоговых и неналоговых платежей и сборов в бюджет, средств государственных внебюджетных сборов, средств предприятий и организаций.</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структуре бюджета муниципального образования по-прежнему наибольший удельный вес занимает налог на доходы физических лиц. В 2018 году предусматриваются ожидаемые поступления налога в сумме 21 289,0 тыс. руб., земельный налог – 12 018,0 тыс.руб.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lastRenderedPageBreak/>
        <w:t xml:space="preserve">           Наблюдается увеличение поступлений по налогу на имущество физических лиц  в связи с уточнением налогооблагаемой базы, путем проведения инвентаризации и регистрации гражданами объектов недвижимости в органах юстиции.</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Ожидаемое поступление единого сельскохозяйственного налога в бюджет предусмотрено в 2018 году в сумме 445,0 тыс. руб.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Средства, получаемые с федерального, областного и районного бюджетов прогнозируются в сумме 19 550 тыс. руб., что составляет </w:t>
      </w:r>
      <w:r w:rsidR="00270505">
        <w:rPr>
          <w:rFonts w:ascii="Times New Roman" w:hAnsi="Times New Roman"/>
          <w:sz w:val="28"/>
          <w:szCs w:val="28"/>
        </w:rPr>
        <w:t>34</w:t>
      </w:r>
      <w:r w:rsidRPr="009B2419">
        <w:rPr>
          <w:rFonts w:ascii="Times New Roman" w:hAnsi="Times New Roman"/>
          <w:sz w:val="28"/>
          <w:szCs w:val="28"/>
        </w:rPr>
        <w:t>% от доходной части местного бюджета. Большая часть этих средств не предназначена для финансовой поддержки муниципального образования, а направляется на обеспечение переданных полномочий и реализацию федеральных и областных программ.</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Одной из главных задач администрации является качественное исполнение доходной части бюджета. В целях рационального использования бюджетных средств  проводятся мероприятия: экономия э/энергии, тепла, ГСМ, совместно с ФНС проведен мониторинг сведений о фактически уплаченных налогах, проведена работа с налогоплательщиками, снизившими уплату НДФЛ, земельному налогу.</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Расходные обязательства 2019г. и на плановый период 2020-2024 г. направлены на последовательное повышение уровня благосостояния населения территории, увеличение финансирования социальных программ, поддержку отдельных отраслей экономики, повышение результативности бюджетных расходов и укрепление финансовой дисциплины при расходовании бюджетных средств.</w:t>
      </w:r>
    </w:p>
    <w:p w:rsidR="009B2419" w:rsidRPr="009B2419" w:rsidRDefault="009B2419" w:rsidP="00C16C4C">
      <w:pPr>
        <w:spacing w:line="240" w:lineRule="auto"/>
        <w:jc w:val="center"/>
        <w:rPr>
          <w:rFonts w:ascii="Times New Roman" w:hAnsi="Times New Roman"/>
          <w:b/>
          <w:sz w:val="28"/>
          <w:szCs w:val="28"/>
        </w:rPr>
      </w:pPr>
      <w:r w:rsidRPr="009B2419">
        <w:rPr>
          <w:rFonts w:ascii="Times New Roman" w:hAnsi="Times New Roman"/>
          <w:b/>
          <w:sz w:val="28"/>
          <w:szCs w:val="28"/>
        </w:rPr>
        <w:t>ЖИЗНЕННЫЙ  УРОВЕНЬ</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Прогноз денежных доходов и расходов населения на 2019-2024г разработан в соответствии со сценарными условиями развития области, рекомендациями Минэкономразвития.</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Небольшой рост доходов населения в прогнозируемом периоде  обусловлен положительной  динамикой большинства показателей социально-экономического развития поселка, а также небольшим ростом реальной заработной платы,  которая вырастет  к 2020году по сравнению с 2016годом  на 2,9%. </w:t>
      </w:r>
    </w:p>
    <w:p w:rsidR="009B2419" w:rsidRPr="009B2419" w:rsidRDefault="009B2419" w:rsidP="00C16C4C">
      <w:pPr>
        <w:spacing w:line="240" w:lineRule="auto"/>
        <w:jc w:val="both"/>
        <w:rPr>
          <w:rFonts w:ascii="Times New Roman" w:hAnsi="Times New Roman"/>
          <w:sz w:val="28"/>
          <w:szCs w:val="28"/>
        </w:rPr>
      </w:pPr>
      <w:r w:rsidRPr="009B2419">
        <w:rPr>
          <w:rFonts w:ascii="Times New Roman" w:hAnsi="Times New Roman"/>
          <w:sz w:val="28"/>
          <w:szCs w:val="28"/>
        </w:rPr>
        <w:t xml:space="preserve">        В 2019 году реальные пенсии вырастут на 0,2% к 2018году, а  в 2020 году на 0,4% к предыдущему году. За 2018–2020 годы реальные располагаемые денежные доходы увеличатся в среднем за год на 0,4%-0,8%. </w:t>
      </w:r>
    </w:p>
    <w:p w:rsidR="009B2419" w:rsidRPr="009B2419" w:rsidRDefault="009B2419" w:rsidP="00C16C4C">
      <w:pPr>
        <w:shd w:val="clear" w:color="auto" w:fill="FFFFFF"/>
        <w:spacing w:line="240" w:lineRule="auto"/>
        <w:jc w:val="center"/>
        <w:rPr>
          <w:rFonts w:ascii="Times New Roman" w:hAnsi="Times New Roman"/>
          <w:spacing w:val="-4"/>
          <w:sz w:val="28"/>
          <w:szCs w:val="28"/>
          <w:highlight w:val="yellow"/>
        </w:rPr>
      </w:pPr>
      <w:r w:rsidRPr="009B2419">
        <w:rPr>
          <w:rFonts w:ascii="Times New Roman" w:hAnsi="Times New Roman"/>
          <w:b/>
          <w:sz w:val="28"/>
          <w:szCs w:val="28"/>
        </w:rPr>
        <w:t>ТУРИЗМ</w:t>
      </w:r>
    </w:p>
    <w:p w:rsidR="009B2419" w:rsidRPr="009B2419" w:rsidRDefault="009B2419" w:rsidP="00C16C4C">
      <w:pPr>
        <w:shd w:val="clear" w:color="auto" w:fill="FFFFFF"/>
        <w:spacing w:line="240" w:lineRule="auto"/>
        <w:ind w:left="62" w:firstLine="658"/>
        <w:jc w:val="both"/>
        <w:rPr>
          <w:rFonts w:ascii="Times New Roman" w:hAnsi="Times New Roman"/>
          <w:sz w:val="28"/>
          <w:szCs w:val="28"/>
        </w:rPr>
      </w:pPr>
      <w:r w:rsidRPr="009B2419">
        <w:rPr>
          <w:rFonts w:ascii="Times New Roman" w:hAnsi="Times New Roman"/>
          <w:color w:val="303030"/>
          <w:spacing w:val="1"/>
          <w:sz w:val="28"/>
          <w:szCs w:val="28"/>
        </w:rPr>
        <w:t>Наиболее популярные объекты туризма, расположенные в поселке, представлены в туристическом паспорте региона.</w:t>
      </w:r>
    </w:p>
    <w:p w:rsidR="009B2419" w:rsidRPr="009B2419" w:rsidRDefault="009B2419" w:rsidP="00C16C4C">
      <w:pPr>
        <w:spacing w:line="240" w:lineRule="auto"/>
        <w:ind w:firstLine="567"/>
        <w:jc w:val="both"/>
        <w:rPr>
          <w:rFonts w:ascii="Times New Roman" w:hAnsi="Times New Roman"/>
          <w:spacing w:val="-2"/>
          <w:sz w:val="28"/>
          <w:szCs w:val="28"/>
        </w:rPr>
      </w:pPr>
      <w:r w:rsidRPr="009B2419">
        <w:rPr>
          <w:rFonts w:ascii="Times New Roman" w:hAnsi="Times New Roman"/>
          <w:color w:val="303030"/>
          <w:sz w:val="28"/>
          <w:szCs w:val="28"/>
        </w:rPr>
        <w:t xml:space="preserve">   Это районный краеведческий музей, </w:t>
      </w:r>
      <w:r w:rsidRPr="009B2419">
        <w:rPr>
          <w:rStyle w:val="af1"/>
          <w:rFonts w:ascii="Times New Roman" w:hAnsi="Times New Roman"/>
          <w:b w:val="0"/>
          <w:iCs/>
          <w:color w:val="000000"/>
          <w:sz w:val="28"/>
          <w:szCs w:val="28"/>
        </w:rPr>
        <w:t xml:space="preserve">Свято-Троицкая Симеонова Обитель Милосердия п. Саракташ Оренбургской области Оренбургской и </w:t>
      </w:r>
      <w:r w:rsidRPr="009B2419">
        <w:rPr>
          <w:rStyle w:val="af1"/>
          <w:rFonts w:ascii="Times New Roman" w:hAnsi="Times New Roman"/>
          <w:b w:val="0"/>
          <w:iCs/>
          <w:color w:val="000000"/>
          <w:sz w:val="28"/>
          <w:szCs w:val="28"/>
        </w:rPr>
        <w:lastRenderedPageBreak/>
        <w:t xml:space="preserve">Бузулукской Епархии Русской Православной Церкви (Московский </w:t>
      </w:r>
      <w:r w:rsidRPr="009B2419">
        <w:rPr>
          <w:rStyle w:val="af1"/>
          <w:rFonts w:ascii="Times New Roman" w:hAnsi="Times New Roman"/>
          <w:b w:val="0"/>
          <w:iCs/>
          <w:sz w:val="28"/>
          <w:szCs w:val="28"/>
        </w:rPr>
        <w:t xml:space="preserve">Патриархат), </w:t>
      </w:r>
      <w:r w:rsidRPr="009B2419">
        <w:rPr>
          <w:rFonts w:ascii="Times New Roman" w:hAnsi="Times New Roman"/>
          <w:spacing w:val="7"/>
          <w:sz w:val="28"/>
          <w:szCs w:val="28"/>
        </w:rPr>
        <w:t xml:space="preserve">а также объекты экономического, лечебно-оздоровительного </w:t>
      </w:r>
      <w:r w:rsidRPr="009B2419">
        <w:rPr>
          <w:rFonts w:ascii="Times New Roman" w:hAnsi="Times New Roman"/>
          <w:spacing w:val="1"/>
          <w:sz w:val="28"/>
          <w:szCs w:val="28"/>
        </w:rPr>
        <w:t xml:space="preserve">туризма, объекты спортивного, приключенческого туризма, охоты, рыбной </w:t>
      </w:r>
      <w:r w:rsidRPr="009B2419">
        <w:rPr>
          <w:rFonts w:ascii="Times New Roman" w:hAnsi="Times New Roman"/>
          <w:spacing w:val="-2"/>
          <w:sz w:val="28"/>
          <w:szCs w:val="28"/>
        </w:rPr>
        <w:t xml:space="preserve">ловли. </w:t>
      </w:r>
    </w:p>
    <w:p w:rsidR="009B2419" w:rsidRPr="009B2419" w:rsidRDefault="009B2419" w:rsidP="00C16C4C">
      <w:pPr>
        <w:spacing w:line="240" w:lineRule="auto"/>
        <w:ind w:firstLine="567"/>
        <w:jc w:val="both"/>
        <w:rPr>
          <w:rFonts w:ascii="Times New Roman" w:hAnsi="Times New Roman"/>
          <w:spacing w:val="8"/>
          <w:sz w:val="28"/>
          <w:szCs w:val="28"/>
        </w:rPr>
      </w:pPr>
      <w:r w:rsidRPr="009B2419">
        <w:rPr>
          <w:rFonts w:ascii="Times New Roman" w:hAnsi="Times New Roman"/>
          <w:spacing w:val="8"/>
          <w:sz w:val="28"/>
          <w:szCs w:val="28"/>
        </w:rPr>
        <w:t xml:space="preserve">  Особую привлекательность для них представляют:</w:t>
      </w:r>
    </w:p>
    <w:p w:rsidR="009B2419" w:rsidRPr="009B2419" w:rsidRDefault="009B2419" w:rsidP="00C16C4C">
      <w:pPr>
        <w:spacing w:line="240" w:lineRule="auto"/>
        <w:ind w:firstLine="567"/>
        <w:jc w:val="both"/>
        <w:rPr>
          <w:rFonts w:ascii="Times New Roman" w:hAnsi="Times New Roman"/>
          <w:sz w:val="28"/>
          <w:szCs w:val="28"/>
        </w:rPr>
      </w:pPr>
      <w:r w:rsidRPr="009B2419">
        <w:rPr>
          <w:rStyle w:val="af1"/>
          <w:rFonts w:ascii="Times New Roman" w:hAnsi="Times New Roman"/>
          <w:b w:val="0"/>
          <w:sz w:val="28"/>
          <w:szCs w:val="28"/>
        </w:rPr>
        <w:t xml:space="preserve">  -Свято-Троицкая Симеонова Обитель Милосердия п.</w:t>
      </w:r>
      <w:r w:rsidRPr="009B2419">
        <w:rPr>
          <w:rStyle w:val="af1"/>
          <w:rFonts w:ascii="Times New Roman" w:hAnsi="Times New Roman"/>
          <w:b w:val="0"/>
          <w:color w:val="000000"/>
          <w:sz w:val="28"/>
          <w:szCs w:val="28"/>
        </w:rPr>
        <w:t xml:space="preserve"> Саракташ </w:t>
      </w:r>
      <w:hyperlink r:id="rId7" w:tgtFrame="_blank" w:history="1">
        <w:r w:rsidRPr="009B2419">
          <w:rPr>
            <w:rStyle w:val="af0"/>
            <w:rFonts w:ascii="Times New Roman" w:hAnsi="Times New Roman" w:cs="Times New Roman"/>
            <w:b w:val="0"/>
            <w:color w:val="000000"/>
            <w:sz w:val="28"/>
            <w:szCs w:val="28"/>
          </w:rPr>
          <w:t xml:space="preserve"> Оренбургской и Бузулукской епархии РПЦ</w:t>
        </w:r>
      </w:hyperlink>
      <w:r w:rsidRPr="009B2419">
        <w:rPr>
          <w:rStyle w:val="af1"/>
          <w:rFonts w:ascii="Times New Roman" w:hAnsi="Times New Roman"/>
          <w:b w:val="0"/>
          <w:color w:val="000000"/>
          <w:sz w:val="28"/>
          <w:szCs w:val="28"/>
        </w:rPr>
        <w:t xml:space="preserve">, основанная в 1990 году. </w:t>
      </w:r>
      <w:r w:rsidRPr="009B2419">
        <w:rPr>
          <w:rFonts w:ascii="Times New Roman" w:hAnsi="Times New Roman"/>
          <w:sz w:val="28"/>
          <w:szCs w:val="28"/>
        </w:rPr>
        <w:t xml:space="preserve">В настоящее время при Обители действуют </w:t>
      </w:r>
      <w:hyperlink r:id="rId8" w:history="1">
        <w:r w:rsidRPr="009B2419">
          <w:rPr>
            <w:rStyle w:val="af0"/>
            <w:rFonts w:ascii="Times New Roman" w:hAnsi="Times New Roman" w:cs="Times New Roman"/>
            <w:b w:val="0"/>
            <w:color w:val="000000"/>
            <w:sz w:val="28"/>
            <w:szCs w:val="28"/>
          </w:rPr>
          <w:t>Дом Милосердия</w:t>
        </w:r>
      </w:hyperlink>
      <w:r w:rsidRPr="009B2419">
        <w:rPr>
          <w:rFonts w:ascii="Times New Roman" w:hAnsi="Times New Roman"/>
          <w:sz w:val="28"/>
          <w:szCs w:val="28"/>
        </w:rPr>
        <w:t xml:space="preserve">, </w:t>
      </w:r>
      <w:hyperlink r:id="rId9" w:history="1">
        <w:r w:rsidRPr="009B2419">
          <w:rPr>
            <w:rStyle w:val="af0"/>
            <w:rFonts w:ascii="Times New Roman" w:hAnsi="Times New Roman" w:cs="Times New Roman"/>
            <w:b w:val="0"/>
            <w:color w:val="000000"/>
            <w:sz w:val="28"/>
            <w:szCs w:val="28"/>
          </w:rPr>
          <w:t>Православная гимназия</w:t>
        </w:r>
      </w:hyperlink>
      <w:r w:rsidRPr="009B2419">
        <w:rPr>
          <w:rFonts w:ascii="Times New Roman" w:hAnsi="Times New Roman"/>
          <w:sz w:val="28"/>
          <w:szCs w:val="28"/>
        </w:rPr>
        <w:t xml:space="preserve">, </w:t>
      </w:r>
      <w:hyperlink r:id="rId10" w:tooltip="воскресная школа" w:history="1">
        <w:r w:rsidRPr="009B2419">
          <w:rPr>
            <w:rStyle w:val="af0"/>
            <w:rFonts w:ascii="Times New Roman" w:hAnsi="Times New Roman" w:cs="Times New Roman"/>
            <w:b w:val="0"/>
            <w:color w:val="000000"/>
            <w:sz w:val="28"/>
            <w:szCs w:val="28"/>
          </w:rPr>
          <w:t>воскресная школа</w:t>
        </w:r>
      </w:hyperlink>
      <w:r w:rsidRPr="009B2419">
        <w:rPr>
          <w:rFonts w:ascii="Times New Roman" w:hAnsi="Times New Roman"/>
          <w:sz w:val="28"/>
          <w:szCs w:val="28"/>
        </w:rPr>
        <w:t>; образованы</w:t>
      </w:r>
      <w:hyperlink r:id="rId11" w:history="1">
        <w:r w:rsidRPr="009B2419">
          <w:rPr>
            <w:rStyle w:val="af0"/>
            <w:rFonts w:ascii="Times New Roman" w:hAnsi="Times New Roman" w:cs="Times New Roman"/>
            <w:b w:val="0"/>
            <w:color w:val="000000"/>
            <w:sz w:val="28"/>
            <w:szCs w:val="28"/>
          </w:rPr>
          <w:t>сестричество</w:t>
        </w:r>
      </w:hyperlink>
      <w:r w:rsidRPr="009B2419">
        <w:rPr>
          <w:rFonts w:ascii="Times New Roman" w:hAnsi="Times New Roman"/>
          <w:sz w:val="28"/>
          <w:szCs w:val="28"/>
        </w:rPr>
        <w:t xml:space="preserve">, </w:t>
      </w:r>
      <w:hyperlink r:id="rId12" w:history="1">
        <w:r w:rsidRPr="009B2419">
          <w:rPr>
            <w:rStyle w:val="af0"/>
            <w:rFonts w:ascii="Times New Roman" w:hAnsi="Times New Roman" w:cs="Times New Roman"/>
            <w:b w:val="0"/>
            <w:color w:val="000000"/>
            <w:sz w:val="28"/>
            <w:szCs w:val="28"/>
          </w:rPr>
          <w:t>община монашествующих</w:t>
        </w:r>
      </w:hyperlink>
      <w:r w:rsidRPr="009B2419">
        <w:rPr>
          <w:rFonts w:ascii="Times New Roman" w:hAnsi="Times New Roman"/>
          <w:sz w:val="28"/>
          <w:szCs w:val="28"/>
        </w:rPr>
        <w:t xml:space="preserve">, имеются швейная мастерская, пекарня, небольшое подсобное хозяйство, а в большой семье священника Николая Евгеньевича Стремского растут, и воспитываются </w:t>
      </w:r>
      <w:hyperlink r:id="rId13" w:history="1">
        <w:r w:rsidRPr="009B2419">
          <w:rPr>
            <w:rStyle w:val="af0"/>
            <w:rFonts w:ascii="Times New Roman" w:hAnsi="Times New Roman" w:cs="Times New Roman"/>
            <w:b w:val="0"/>
            <w:color w:val="000000"/>
            <w:sz w:val="28"/>
            <w:szCs w:val="28"/>
          </w:rPr>
          <w:t> дети-сироты</w:t>
        </w:r>
      </w:hyperlink>
      <w:r w:rsidRPr="009B2419">
        <w:rPr>
          <w:rFonts w:ascii="Times New Roman" w:hAnsi="Times New Roman"/>
          <w:sz w:val="28"/>
          <w:szCs w:val="28"/>
        </w:rPr>
        <w:t>.</w:t>
      </w:r>
    </w:p>
    <w:p w:rsidR="009B2419" w:rsidRDefault="009B2419" w:rsidP="00C16C4C">
      <w:pPr>
        <w:spacing w:line="240" w:lineRule="auto"/>
        <w:ind w:firstLine="567"/>
        <w:jc w:val="both"/>
        <w:rPr>
          <w:rFonts w:ascii="Times New Roman" w:hAnsi="Times New Roman"/>
          <w:sz w:val="28"/>
          <w:szCs w:val="28"/>
        </w:rPr>
      </w:pPr>
    </w:p>
    <w:p w:rsidR="001B6244" w:rsidRDefault="001B6244" w:rsidP="00C16C4C">
      <w:pPr>
        <w:spacing w:line="240" w:lineRule="auto"/>
        <w:ind w:firstLine="567"/>
        <w:jc w:val="both"/>
        <w:rPr>
          <w:rFonts w:ascii="Times New Roman" w:hAnsi="Times New Roman"/>
          <w:sz w:val="28"/>
          <w:szCs w:val="28"/>
        </w:rPr>
      </w:pPr>
      <w:r>
        <w:rPr>
          <w:rFonts w:ascii="Times New Roman" w:hAnsi="Times New Roman"/>
          <w:sz w:val="28"/>
          <w:szCs w:val="28"/>
        </w:rPr>
        <w:t>Заключение:</w:t>
      </w:r>
    </w:p>
    <w:p w:rsidR="001B6244" w:rsidRPr="001B6244" w:rsidRDefault="001B6244" w:rsidP="00C16C4C">
      <w:pPr>
        <w:spacing w:line="240" w:lineRule="auto"/>
        <w:ind w:firstLine="567"/>
        <w:jc w:val="both"/>
        <w:rPr>
          <w:rFonts w:ascii="Times New Roman" w:hAnsi="Times New Roman"/>
          <w:sz w:val="28"/>
          <w:szCs w:val="28"/>
        </w:rPr>
      </w:pPr>
      <w:r>
        <w:rPr>
          <w:rFonts w:ascii="Times New Roman" w:hAnsi="Times New Roman"/>
          <w:sz w:val="28"/>
          <w:szCs w:val="28"/>
        </w:rPr>
        <w:t>На основе данных социально-экономич</w:t>
      </w:r>
      <w:r w:rsidR="00C16C4C">
        <w:rPr>
          <w:rFonts w:ascii="Times New Roman" w:hAnsi="Times New Roman"/>
          <w:sz w:val="28"/>
          <w:szCs w:val="28"/>
        </w:rPr>
        <w:t>ес</w:t>
      </w:r>
      <w:r>
        <w:rPr>
          <w:rFonts w:ascii="Times New Roman" w:hAnsi="Times New Roman"/>
          <w:sz w:val="28"/>
          <w:szCs w:val="28"/>
        </w:rPr>
        <w:t>кого прогноза прослеживается положительная динамика развития экономики и социальной сферы на финансовый год и плановый период до 2024 года.</w:t>
      </w:r>
    </w:p>
    <w:p w:rsidR="001B6244" w:rsidRPr="001B6244" w:rsidRDefault="001B6244" w:rsidP="00C16C4C">
      <w:pPr>
        <w:shd w:val="clear" w:color="auto" w:fill="FFFFFF"/>
        <w:spacing w:line="240" w:lineRule="auto"/>
        <w:ind w:left="62"/>
        <w:jc w:val="both"/>
        <w:rPr>
          <w:rFonts w:ascii="Times New Roman" w:hAnsi="Times New Roman"/>
          <w:color w:val="303030"/>
          <w:spacing w:val="-4"/>
          <w:sz w:val="28"/>
          <w:szCs w:val="28"/>
          <w:highlight w:val="yellow"/>
        </w:rPr>
      </w:pPr>
    </w:p>
    <w:p w:rsidR="001B6244" w:rsidRPr="001B6244" w:rsidRDefault="001B6244" w:rsidP="00C16C4C">
      <w:pPr>
        <w:shd w:val="clear" w:color="auto" w:fill="FFFFFF"/>
        <w:spacing w:before="346" w:line="240" w:lineRule="auto"/>
        <w:ind w:left="86" w:firstLine="634"/>
        <w:jc w:val="both"/>
        <w:rPr>
          <w:rFonts w:ascii="Times New Roman" w:hAnsi="Times New Roman"/>
          <w:sz w:val="28"/>
          <w:szCs w:val="28"/>
        </w:rPr>
      </w:pPr>
    </w:p>
    <w:p w:rsidR="001B6244" w:rsidRPr="0023723D" w:rsidRDefault="001B6244" w:rsidP="00B56F09">
      <w:pPr>
        <w:shd w:val="clear" w:color="auto" w:fill="FFFFFF"/>
        <w:spacing w:before="100" w:beforeAutospacing="1" w:after="199" w:line="240" w:lineRule="auto"/>
        <w:jc w:val="right"/>
        <w:rPr>
          <w:rFonts w:ascii="Times New Roman" w:hAnsi="Times New Roman"/>
          <w:sz w:val="28"/>
          <w:szCs w:val="28"/>
        </w:rPr>
      </w:pPr>
    </w:p>
    <w:sectPr w:rsidR="001B6244" w:rsidRPr="0023723D" w:rsidSect="006C093F">
      <w:pgSz w:w="11906" w:h="16838"/>
      <w:pgMar w:top="993"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3E2" w:rsidRDefault="009C33E2" w:rsidP="00A4279F">
      <w:pPr>
        <w:spacing w:after="0" w:line="240" w:lineRule="auto"/>
      </w:pPr>
      <w:r>
        <w:separator/>
      </w:r>
    </w:p>
  </w:endnote>
  <w:endnote w:type="continuationSeparator" w:id="0">
    <w:p w:rsidR="009C33E2" w:rsidRDefault="009C33E2" w:rsidP="00A4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3E2" w:rsidRDefault="009C33E2" w:rsidP="00A4279F">
      <w:pPr>
        <w:spacing w:after="0" w:line="240" w:lineRule="auto"/>
      </w:pPr>
      <w:r>
        <w:separator/>
      </w:r>
    </w:p>
  </w:footnote>
  <w:footnote w:type="continuationSeparator" w:id="0">
    <w:p w:rsidR="009C33E2" w:rsidRDefault="009C33E2" w:rsidP="00A42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F0"/>
    <w:rsid w:val="0005472D"/>
    <w:rsid w:val="000F2675"/>
    <w:rsid w:val="00152555"/>
    <w:rsid w:val="00153814"/>
    <w:rsid w:val="00165929"/>
    <w:rsid w:val="00195C90"/>
    <w:rsid w:val="001B6244"/>
    <w:rsid w:val="00226A08"/>
    <w:rsid w:val="00231247"/>
    <w:rsid w:val="0023723D"/>
    <w:rsid w:val="0024124E"/>
    <w:rsid w:val="00256549"/>
    <w:rsid w:val="00270505"/>
    <w:rsid w:val="00273CA0"/>
    <w:rsid w:val="002757C2"/>
    <w:rsid w:val="002A67E3"/>
    <w:rsid w:val="002C0C0B"/>
    <w:rsid w:val="003268D0"/>
    <w:rsid w:val="003270A9"/>
    <w:rsid w:val="00372A24"/>
    <w:rsid w:val="003E307F"/>
    <w:rsid w:val="00444D61"/>
    <w:rsid w:val="0045331B"/>
    <w:rsid w:val="00511816"/>
    <w:rsid w:val="005173C6"/>
    <w:rsid w:val="00535008"/>
    <w:rsid w:val="00580D7C"/>
    <w:rsid w:val="005B0C46"/>
    <w:rsid w:val="005B240B"/>
    <w:rsid w:val="005C15CE"/>
    <w:rsid w:val="005C6A74"/>
    <w:rsid w:val="005E7FCD"/>
    <w:rsid w:val="006250CD"/>
    <w:rsid w:val="00637FDC"/>
    <w:rsid w:val="006523EC"/>
    <w:rsid w:val="00696CD7"/>
    <w:rsid w:val="006A34FE"/>
    <w:rsid w:val="006A4854"/>
    <w:rsid w:val="006C093F"/>
    <w:rsid w:val="006D2D45"/>
    <w:rsid w:val="00710B24"/>
    <w:rsid w:val="00714F61"/>
    <w:rsid w:val="007150C5"/>
    <w:rsid w:val="00724481"/>
    <w:rsid w:val="00740612"/>
    <w:rsid w:val="00772F9B"/>
    <w:rsid w:val="00787639"/>
    <w:rsid w:val="007B2024"/>
    <w:rsid w:val="007F65B5"/>
    <w:rsid w:val="00816603"/>
    <w:rsid w:val="00823495"/>
    <w:rsid w:val="00845367"/>
    <w:rsid w:val="00847E2A"/>
    <w:rsid w:val="00851C41"/>
    <w:rsid w:val="00853CD3"/>
    <w:rsid w:val="00863B2D"/>
    <w:rsid w:val="0086669F"/>
    <w:rsid w:val="008744D8"/>
    <w:rsid w:val="00885A9E"/>
    <w:rsid w:val="008A3CC0"/>
    <w:rsid w:val="008A684E"/>
    <w:rsid w:val="008F09DA"/>
    <w:rsid w:val="00923E73"/>
    <w:rsid w:val="009901E0"/>
    <w:rsid w:val="009B2419"/>
    <w:rsid w:val="009C33E2"/>
    <w:rsid w:val="009D2972"/>
    <w:rsid w:val="009E09EE"/>
    <w:rsid w:val="009E561B"/>
    <w:rsid w:val="009E5CDB"/>
    <w:rsid w:val="00A16617"/>
    <w:rsid w:val="00A4279F"/>
    <w:rsid w:val="00A57D1D"/>
    <w:rsid w:val="00AA3BBE"/>
    <w:rsid w:val="00AA5166"/>
    <w:rsid w:val="00B322D0"/>
    <w:rsid w:val="00B33831"/>
    <w:rsid w:val="00B53733"/>
    <w:rsid w:val="00B56F09"/>
    <w:rsid w:val="00C16C4C"/>
    <w:rsid w:val="00C352DE"/>
    <w:rsid w:val="00C6158E"/>
    <w:rsid w:val="00CC7727"/>
    <w:rsid w:val="00CE56C7"/>
    <w:rsid w:val="00D0035D"/>
    <w:rsid w:val="00D17C0C"/>
    <w:rsid w:val="00D21834"/>
    <w:rsid w:val="00D21DF0"/>
    <w:rsid w:val="00D4445A"/>
    <w:rsid w:val="00DB59AE"/>
    <w:rsid w:val="00DD6E87"/>
    <w:rsid w:val="00DF1C35"/>
    <w:rsid w:val="00E152AA"/>
    <w:rsid w:val="00E15DBA"/>
    <w:rsid w:val="00E21130"/>
    <w:rsid w:val="00E2781B"/>
    <w:rsid w:val="00E468C0"/>
    <w:rsid w:val="00EB06F7"/>
    <w:rsid w:val="00ED0059"/>
    <w:rsid w:val="00F319D6"/>
    <w:rsid w:val="00F370AE"/>
    <w:rsid w:val="00FE71BE"/>
    <w:rsid w:val="00FF0F64"/>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88D2050-786D-4722-9072-24E24ACE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79F"/>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4279F"/>
    <w:pPr>
      <w:tabs>
        <w:tab w:val="center" w:pos="4677"/>
        <w:tab w:val="right" w:pos="9355"/>
      </w:tabs>
      <w:spacing w:after="0" w:line="240" w:lineRule="auto"/>
    </w:pPr>
    <w:rPr>
      <w:rFonts w:eastAsia="Calibri"/>
      <w:sz w:val="20"/>
      <w:szCs w:val="20"/>
      <w:lang w:val="x-none" w:eastAsia="x-none"/>
    </w:rPr>
  </w:style>
  <w:style w:type="character" w:customStyle="1" w:styleId="a4">
    <w:name w:val="Верхний колонтитул Знак"/>
    <w:link w:val="a3"/>
    <w:locked/>
    <w:rsid w:val="00A4279F"/>
    <w:rPr>
      <w:rFonts w:cs="Times New Roman"/>
    </w:rPr>
  </w:style>
  <w:style w:type="paragraph" w:styleId="a5">
    <w:name w:val="footer"/>
    <w:basedOn w:val="a"/>
    <w:link w:val="a6"/>
    <w:rsid w:val="00A4279F"/>
    <w:pPr>
      <w:tabs>
        <w:tab w:val="center" w:pos="4677"/>
        <w:tab w:val="right" w:pos="9355"/>
      </w:tabs>
      <w:spacing w:after="0" w:line="240" w:lineRule="auto"/>
    </w:pPr>
    <w:rPr>
      <w:rFonts w:eastAsia="Calibri"/>
      <w:sz w:val="20"/>
      <w:szCs w:val="20"/>
      <w:lang w:val="x-none" w:eastAsia="x-none"/>
    </w:rPr>
  </w:style>
  <w:style w:type="character" w:customStyle="1" w:styleId="a6">
    <w:name w:val="Нижний колонтитул Знак"/>
    <w:link w:val="a5"/>
    <w:locked/>
    <w:rsid w:val="00A4279F"/>
    <w:rPr>
      <w:rFonts w:cs="Times New Roman"/>
    </w:rPr>
  </w:style>
  <w:style w:type="table" w:styleId="a7">
    <w:name w:val="Table Grid"/>
    <w:basedOn w:val="a1"/>
    <w:locked/>
    <w:rsid w:val="00FE71B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851C41"/>
    <w:pPr>
      <w:autoSpaceDE w:val="0"/>
      <w:autoSpaceDN w:val="0"/>
      <w:adjustRightInd w:val="0"/>
    </w:pPr>
    <w:rPr>
      <w:rFonts w:ascii="Arial" w:hAnsi="Arial" w:cs="Arial"/>
      <w:lang w:eastAsia="en-US"/>
    </w:rPr>
  </w:style>
  <w:style w:type="paragraph" w:styleId="a8">
    <w:name w:val="Balloon Text"/>
    <w:basedOn w:val="a"/>
    <w:link w:val="a9"/>
    <w:rsid w:val="008744D8"/>
    <w:pPr>
      <w:spacing w:after="0" w:line="240" w:lineRule="auto"/>
    </w:pPr>
    <w:rPr>
      <w:rFonts w:ascii="Tahoma" w:hAnsi="Tahoma"/>
      <w:sz w:val="16"/>
      <w:szCs w:val="16"/>
      <w:lang w:val="x-none"/>
    </w:rPr>
  </w:style>
  <w:style w:type="character" w:customStyle="1" w:styleId="a9">
    <w:name w:val="Текст выноски Знак"/>
    <w:link w:val="a8"/>
    <w:rsid w:val="008744D8"/>
    <w:rPr>
      <w:rFonts w:ascii="Tahoma" w:eastAsia="Times New Roman" w:hAnsi="Tahoma" w:cs="Tahoma"/>
      <w:sz w:val="16"/>
      <w:szCs w:val="16"/>
      <w:lang w:eastAsia="en-US"/>
    </w:rPr>
  </w:style>
  <w:style w:type="paragraph" w:customStyle="1" w:styleId="ConsPlusCell">
    <w:name w:val="ConsPlusCell"/>
    <w:rsid w:val="00511816"/>
    <w:pPr>
      <w:autoSpaceDE w:val="0"/>
      <w:autoSpaceDN w:val="0"/>
      <w:adjustRightInd w:val="0"/>
    </w:pPr>
    <w:rPr>
      <w:rFonts w:ascii="Arial" w:eastAsia="Times New Roman" w:hAnsi="Arial" w:cs="Arial"/>
      <w:lang w:eastAsia="en-US"/>
    </w:rPr>
  </w:style>
  <w:style w:type="paragraph" w:customStyle="1" w:styleId="Web">
    <w:name w:val="Обычный (Web)"/>
    <w:basedOn w:val="a"/>
    <w:rsid w:val="007B2024"/>
    <w:pPr>
      <w:spacing w:before="100" w:after="100" w:line="240" w:lineRule="auto"/>
    </w:pPr>
    <w:rPr>
      <w:rFonts w:ascii="Times New Roman" w:hAnsi="Times New Roman"/>
      <w:sz w:val="24"/>
      <w:szCs w:val="20"/>
      <w:lang w:eastAsia="ru-RU"/>
    </w:rPr>
  </w:style>
  <w:style w:type="paragraph" w:styleId="3">
    <w:name w:val="Body Text Indent 3"/>
    <w:basedOn w:val="a"/>
    <w:link w:val="30"/>
    <w:rsid w:val="00863B2D"/>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basedOn w:val="a0"/>
    <w:link w:val="3"/>
    <w:rsid w:val="00863B2D"/>
    <w:rPr>
      <w:rFonts w:ascii="Times New Roman" w:eastAsia="Times New Roman" w:hAnsi="Times New Roman"/>
      <w:sz w:val="16"/>
      <w:szCs w:val="16"/>
    </w:rPr>
  </w:style>
  <w:style w:type="paragraph" w:styleId="aa">
    <w:name w:val="Title"/>
    <w:basedOn w:val="a"/>
    <w:link w:val="ab"/>
    <w:qFormat/>
    <w:locked/>
    <w:rsid w:val="0023723D"/>
    <w:pPr>
      <w:spacing w:after="0" w:line="240" w:lineRule="auto"/>
      <w:jc w:val="center"/>
    </w:pPr>
    <w:rPr>
      <w:rFonts w:ascii="Times New Roman" w:hAnsi="Times New Roman"/>
      <w:b/>
      <w:sz w:val="32"/>
      <w:szCs w:val="20"/>
      <w:lang w:eastAsia="ru-RU"/>
    </w:rPr>
  </w:style>
  <w:style w:type="character" w:customStyle="1" w:styleId="ab">
    <w:name w:val="Название Знак"/>
    <w:basedOn w:val="a0"/>
    <w:link w:val="aa"/>
    <w:rsid w:val="0023723D"/>
    <w:rPr>
      <w:rFonts w:ascii="Times New Roman" w:eastAsia="Times New Roman" w:hAnsi="Times New Roman"/>
      <w:b/>
      <w:sz w:val="32"/>
    </w:rPr>
  </w:style>
  <w:style w:type="paragraph" w:styleId="ac">
    <w:name w:val="Body Text"/>
    <w:basedOn w:val="a"/>
    <w:link w:val="ad"/>
    <w:rsid w:val="001B6244"/>
    <w:pPr>
      <w:spacing w:after="120"/>
    </w:pPr>
  </w:style>
  <w:style w:type="character" w:customStyle="1" w:styleId="ad">
    <w:name w:val="Основной текст Знак"/>
    <w:basedOn w:val="a0"/>
    <w:link w:val="ac"/>
    <w:rsid w:val="001B6244"/>
    <w:rPr>
      <w:rFonts w:eastAsia="Times New Roman"/>
      <w:sz w:val="22"/>
      <w:szCs w:val="22"/>
      <w:lang w:eastAsia="en-US"/>
    </w:rPr>
  </w:style>
  <w:style w:type="paragraph" w:styleId="2">
    <w:name w:val="Body Text 2"/>
    <w:basedOn w:val="a"/>
    <w:link w:val="20"/>
    <w:rsid w:val="001B6244"/>
    <w:pPr>
      <w:spacing w:after="120" w:line="480" w:lineRule="auto"/>
    </w:pPr>
  </w:style>
  <w:style w:type="character" w:customStyle="1" w:styleId="20">
    <w:name w:val="Основной текст 2 Знак"/>
    <w:basedOn w:val="a0"/>
    <w:link w:val="2"/>
    <w:rsid w:val="001B6244"/>
    <w:rPr>
      <w:rFonts w:eastAsia="Times New Roman"/>
      <w:sz w:val="22"/>
      <w:szCs w:val="22"/>
      <w:lang w:eastAsia="en-US"/>
    </w:rPr>
  </w:style>
  <w:style w:type="paragraph" w:styleId="21">
    <w:name w:val="Body Text Indent 2"/>
    <w:basedOn w:val="a"/>
    <w:link w:val="22"/>
    <w:rsid w:val="001B6244"/>
    <w:pPr>
      <w:spacing w:after="120" w:line="480" w:lineRule="auto"/>
      <w:ind w:left="283"/>
    </w:pPr>
  </w:style>
  <w:style w:type="character" w:customStyle="1" w:styleId="22">
    <w:name w:val="Основной текст с отступом 2 Знак"/>
    <w:basedOn w:val="a0"/>
    <w:link w:val="21"/>
    <w:rsid w:val="001B6244"/>
    <w:rPr>
      <w:rFonts w:eastAsia="Times New Roman"/>
      <w:sz w:val="22"/>
      <w:szCs w:val="22"/>
      <w:lang w:eastAsia="en-US"/>
    </w:rPr>
  </w:style>
  <w:style w:type="paragraph" w:styleId="ae">
    <w:name w:val="Body Text Indent"/>
    <w:basedOn w:val="a"/>
    <w:link w:val="af"/>
    <w:uiPriority w:val="99"/>
    <w:rsid w:val="001B6244"/>
    <w:pPr>
      <w:spacing w:after="120" w:line="240" w:lineRule="auto"/>
      <w:ind w:left="283"/>
    </w:pPr>
    <w:rPr>
      <w:rFonts w:ascii="Times New Roman" w:hAnsi="Times New Roman"/>
      <w:sz w:val="24"/>
      <w:szCs w:val="24"/>
      <w:lang w:eastAsia="ru-RU"/>
    </w:rPr>
  </w:style>
  <w:style w:type="character" w:customStyle="1" w:styleId="af">
    <w:name w:val="Основной текст с отступом Знак"/>
    <w:basedOn w:val="a0"/>
    <w:link w:val="ae"/>
    <w:uiPriority w:val="99"/>
    <w:rsid w:val="001B6244"/>
    <w:rPr>
      <w:rFonts w:ascii="Times New Roman" w:eastAsia="Times New Roman" w:hAnsi="Times New Roman"/>
      <w:sz w:val="24"/>
      <w:szCs w:val="24"/>
    </w:rPr>
  </w:style>
  <w:style w:type="paragraph" w:customStyle="1" w:styleId="ConsNormal">
    <w:name w:val="ConsNormal"/>
    <w:rsid w:val="001B6244"/>
    <w:pPr>
      <w:widowControl w:val="0"/>
      <w:autoSpaceDE w:val="0"/>
      <w:autoSpaceDN w:val="0"/>
      <w:adjustRightInd w:val="0"/>
      <w:ind w:right="19772" w:firstLine="720"/>
    </w:pPr>
    <w:rPr>
      <w:rFonts w:ascii="Arial" w:eastAsia="Times New Roman" w:hAnsi="Arial" w:cs="Arial"/>
      <w:lang w:eastAsia="en-US"/>
    </w:rPr>
  </w:style>
  <w:style w:type="character" w:styleId="af0">
    <w:name w:val="Hyperlink"/>
    <w:basedOn w:val="a0"/>
    <w:rsid w:val="001B6244"/>
    <w:rPr>
      <w:rFonts w:ascii="Arial" w:hAnsi="Arial" w:cs="Arial" w:hint="default"/>
      <w:b/>
      <w:bCs/>
      <w:i w:val="0"/>
      <w:iCs w:val="0"/>
      <w:strike w:val="0"/>
      <w:dstrike w:val="0"/>
      <w:color w:val="033E7A"/>
      <w:u w:val="none"/>
      <w:effect w:val="none"/>
    </w:rPr>
  </w:style>
  <w:style w:type="character" w:styleId="af1">
    <w:name w:val="Strong"/>
    <w:basedOn w:val="a0"/>
    <w:qFormat/>
    <w:locked/>
    <w:rsid w:val="001B6244"/>
    <w:rPr>
      <w:b/>
      <w:bCs/>
    </w:rPr>
  </w:style>
  <w:style w:type="paragraph" w:customStyle="1" w:styleId="Default">
    <w:name w:val="Default"/>
    <w:rsid w:val="001B6244"/>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05652">
      <w:bodyDiv w:val="1"/>
      <w:marLeft w:val="0"/>
      <w:marRight w:val="0"/>
      <w:marTop w:val="0"/>
      <w:marBottom w:val="0"/>
      <w:divBdr>
        <w:top w:val="none" w:sz="0" w:space="0" w:color="auto"/>
        <w:left w:val="none" w:sz="0" w:space="0" w:color="auto"/>
        <w:bottom w:val="none" w:sz="0" w:space="0" w:color="auto"/>
        <w:right w:val="none" w:sz="0" w:space="0" w:color="auto"/>
      </w:divBdr>
    </w:div>
    <w:div w:id="1357123240">
      <w:bodyDiv w:val="1"/>
      <w:marLeft w:val="0"/>
      <w:marRight w:val="0"/>
      <w:marTop w:val="0"/>
      <w:marBottom w:val="0"/>
      <w:divBdr>
        <w:top w:val="none" w:sz="0" w:space="0" w:color="auto"/>
        <w:left w:val="none" w:sz="0" w:space="0" w:color="auto"/>
        <w:bottom w:val="none" w:sz="0" w:space="0" w:color="auto"/>
        <w:right w:val="none" w:sz="0" w:space="0" w:color="auto"/>
      </w:divBdr>
    </w:div>
    <w:div w:id="21216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tobitel.ru/index.php?option=com_content&amp;view=article&amp;id=6" TargetMode="External"/><Relationship Id="rId13" Type="http://schemas.openxmlformats.org/officeDocument/2006/relationships/hyperlink" Target="http://www.stobitel.ru/index.php?option=com_content&amp;view=article&amp;id=10" TargetMode="External"/><Relationship Id="rId3" Type="http://schemas.openxmlformats.org/officeDocument/2006/relationships/settings" Target="settings.xml"/><Relationship Id="rId7" Type="http://schemas.openxmlformats.org/officeDocument/2006/relationships/hyperlink" Target="http://oepress.ru" TargetMode="External"/><Relationship Id="rId12" Type="http://schemas.openxmlformats.org/officeDocument/2006/relationships/hyperlink" Target="http://www.stobitel.ru/index.php?option=com_content&amp;view=article&amp;id=9&amp;Itemid=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obitel.ru/index.php?option=com_content&amp;view=article&amp;id=8&amp;Itemid=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obitel.ru/index.php?option=com_content&amp;view=article&amp;id=337&amp;Itemid=51&amp;lang=ru" TargetMode="External"/><Relationship Id="rId4" Type="http://schemas.openxmlformats.org/officeDocument/2006/relationships/webSettings" Target="webSettings.xml"/><Relationship Id="rId9" Type="http://schemas.openxmlformats.org/officeDocument/2006/relationships/hyperlink" Target="http://www.stobitel.ru/index.php?option=com_content&amp;view=article&amp;id=7&amp;Itemid=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DBFC-B63A-465D-8837-B9ACC21F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3823</Words>
  <Characters>21792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25564</CharactersWithSpaces>
  <SharedDoc>false</SharedDoc>
  <HLinks>
    <vt:vector size="42" baseType="variant">
      <vt:variant>
        <vt:i4>5636158</vt:i4>
      </vt:variant>
      <vt:variant>
        <vt:i4>18</vt:i4>
      </vt:variant>
      <vt:variant>
        <vt:i4>0</vt:i4>
      </vt:variant>
      <vt:variant>
        <vt:i4>5</vt:i4>
      </vt:variant>
      <vt:variant>
        <vt:lpwstr>http://www.stobitel.ru/index.php?option=com_content&amp;view=article&amp;id=10</vt:lpwstr>
      </vt:variant>
      <vt:variant>
        <vt:lpwstr/>
      </vt:variant>
      <vt:variant>
        <vt:i4>786542</vt:i4>
      </vt:variant>
      <vt:variant>
        <vt:i4>15</vt:i4>
      </vt:variant>
      <vt:variant>
        <vt:i4>0</vt:i4>
      </vt:variant>
      <vt:variant>
        <vt:i4>5</vt:i4>
      </vt:variant>
      <vt:variant>
        <vt:lpwstr>http://www.stobitel.ru/index.php?option=com_content&amp;view=article&amp;id=9&amp;Itemid=11</vt:lpwstr>
      </vt:variant>
      <vt:variant>
        <vt:lpwstr/>
      </vt:variant>
      <vt:variant>
        <vt:i4>786543</vt:i4>
      </vt:variant>
      <vt:variant>
        <vt:i4>12</vt:i4>
      </vt:variant>
      <vt:variant>
        <vt:i4>0</vt:i4>
      </vt:variant>
      <vt:variant>
        <vt:i4>5</vt:i4>
      </vt:variant>
      <vt:variant>
        <vt:lpwstr>http://www.stobitel.ru/index.php?option=com_content&amp;view=article&amp;id=8&amp;Itemid=10</vt:lpwstr>
      </vt:variant>
      <vt:variant>
        <vt:lpwstr/>
      </vt:variant>
      <vt:variant>
        <vt:i4>6881373</vt:i4>
      </vt:variant>
      <vt:variant>
        <vt:i4>9</vt:i4>
      </vt:variant>
      <vt:variant>
        <vt:i4>0</vt:i4>
      </vt:variant>
      <vt:variant>
        <vt:i4>5</vt:i4>
      </vt:variant>
      <vt:variant>
        <vt:lpwstr>http://www.stobitel.ru/index.php?option=com_content&amp;view=article&amp;id=337&amp;Itemid=51&amp;lang=ru</vt:lpwstr>
      </vt:variant>
      <vt:variant>
        <vt:lpwstr/>
      </vt:variant>
      <vt:variant>
        <vt:i4>262240</vt:i4>
      </vt:variant>
      <vt:variant>
        <vt:i4>6</vt:i4>
      </vt:variant>
      <vt:variant>
        <vt:i4>0</vt:i4>
      </vt:variant>
      <vt:variant>
        <vt:i4>5</vt:i4>
      </vt:variant>
      <vt:variant>
        <vt:lpwstr>http://www.stobitel.ru/index.php?option=com_content&amp;view=article&amp;id=7&amp;Itemid=9</vt:lpwstr>
      </vt:variant>
      <vt:variant>
        <vt:lpwstr/>
      </vt:variant>
      <vt:variant>
        <vt:i4>6684687</vt:i4>
      </vt:variant>
      <vt:variant>
        <vt:i4>3</vt:i4>
      </vt:variant>
      <vt:variant>
        <vt:i4>0</vt:i4>
      </vt:variant>
      <vt:variant>
        <vt:i4>5</vt:i4>
      </vt:variant>
      <vt:variant>
        <vt:lpwstr>http://www.stobitel.ru/index.php?option=com_content&amp;view=article&amp;id=6</vt:lpwstr>
      </vt:variant>
      <vt:variant>
        <vt:lpwstr/>
      </vt:variant>
      <vt:variant>
        <vt:i4>8323126</vt:i4>
      </vt:variant>
      <vt:variant>
        <vt:i4>0</vt:i4>
      </vt:variant>
      <vt:variant>
        <vt:i4>0</vt:i4>
      </vt:variant>
      <vt:variant>
        <vt:i4>5</vt:i4>
      </vt:variant>
      <vt:variant>
        <vt:lpwstr>http://oepress.ru/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Глинская Л.В.</dc:creator>
  <cp:keywords/>
  <dc:description/>
  <cp:lastModifiedBy>Надежда</cp:lastModifiedBy>
  <cp:revision>2</cp:revision>
  <cp:lastPrinted>2018-11-19T10:03:00Z</cp:lastPrinted>
  <dcterms:created xsi:type="dcterms:W3CDTF">2018-12-27T03:39:00Z</dcterms:created>
  <dcterms:modified xsi:type="dcterms:W3CDTF">2018-12-27T03:39:00Z</dcterms:modified>
</cp:coreProperties>
</file>