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4D7176">
              <w:rPr>
                <w:rFonts w:ascii="Times New Roman" w:hAnsi="Times New Roman"/>
              </w:rPr>
              <w:t>5713,5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4D7176">
              <w:rPr>
                <w:color w:val="000000"/>
                <w:sz w:val="24"/>
                <w:szCs w:val="24"/>
              </w:rPr>
              <w:t>4630,5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4D7176">
              <w:rPr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4D7176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D81330" w:rsidRPr="00876CB9">
              <w:rPr>
                <w:color w:val="000000"/>
                <w:sz w:val="24"/>
                <w:szCs w:val="24"/>
              </w:rPr>
              <w:t>613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2023 год -   </w:t>
            </w:r>
            <w:r w:rsidR="00D81330" w:rsidRPr="00876CB9">
              <w:rPr>
                <w:color w:val="000000"/>
                <w:sz w:val="24"/>
                <w:szCs w:val="24"/>
              </w:rPr>
              <w:t>370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D81330" w:rsidRPr="00876CB9">
              <w:rPr>
                <w:color w:val="000000"/>
                <w:sz w:val="24"/>
                <w:szCs w:val="24"/>
              </w:rPr>
              <w:t>100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 xml:space="preserve">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lastRenderedPageBreak/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7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разработка проектной документации на объекты инженерной инфраструктуры по 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4D7176">
        <w:rPr>
          <w:color w:val="000000"/>
          <w:sz w:val="24"/>
          <w:szCs w:val="24"/>
        </w:rPr>
        <w:t>5713,5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C8054F" w:rsidRPr="00876CB9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816349" w:rsidRDefault="00C8054F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F582B" w:rsidRP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7176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4222"/>
        <w:gridCol w:w="1732"/>
        <w:gridCol w:w="708"/>
        <w:gridCol w:w="709"/>
        <w:gridCol w:w="1559"/>
        <w:gridCol w:w="993"/>
        <w:gridCol w:w="992"/>
        <w:gridCol w:w="709"/>
        <w:gridCol w:w="708"/>
        <w:gridCol w:w="709"/>
        <w:gridCol w:w="709"/>
      </w:tblGrid>
      <w:tr w:rsidR="00CF582B" w:rsidRPr="00876CB9" w:rsidTr="00E02AE5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22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173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E02AE5" w:rsidRPr="00876CB9" w:rsidTr="0097335C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3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E02AE5" w:rsidRPr="00876CB9" w:rsidTr="0097335C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02AE5" w:rsidRPr="00876CB9" w:rsidTr="0097335C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875187" w:rsidP="00875187">
            <w:pPr>
              <w:spacing w:line="233" w:lineRule="auto"/>
              <w:ind w:right="-250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ная пр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422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173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AF5331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AF5331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F5331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F5331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69726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02310E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82167B" w:rsidRPr="00876CB9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</w:tr>
      <w:tr w:rsidR="00E02AE5" w:rsidRPr="00876CB9" w:rsidTr="0097335C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173</w:t>
            </w:r>
            <w:r w:rsidR="00DA52DA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Бюджет сельских </w:t>
            </w: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Канализация 2.8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137</w:t>
            </w:r>
            <w:r w:rsidR="00D97C06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40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3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Всего, в том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57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671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586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58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439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876CB9" w:rsidRDefault="00AE33CA" w:rsidP="004A566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207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97335C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Всего, в том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7335C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2F0" w:rsidRDefault="00EC52F0">
      <w:r>
        <w:separator/>
      </w:r>
    </w:p>
  </w:endnote>
  <w:endnote w:type="continuationSeparator" w:id="0">
    <w:p w:rsidR="00EC52F0" w:rsidRDefault="00EC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2F0" w:rsidRDefault="00EC52F0">
      <w:r>
        <w:separator/>
      </w:r>
    </w:p>
  </w:footnote>
  <w:footnote w:type="continuationSeparator" w:id="0">
    <w:p w:rsidR="00EC52F0" w:rsidRDefault="00EC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3376"/>
    <w:rsid w:val="0004426D"/>
    <w:rsid w:val="00071AD0"/>
    <w:rsid w:val="00082107"/>
    <w:rsid w:val="00083949"/>
    <w:rsid w:val="000A11B6"/>
    <w:rsid w:val="000A49BE"/>
    <w:rsid w:val="000A7863"/>
    <w:rsid w:val="000E66C4"/>
    <w:rsid w:val="001179C4"/>
    <w:rsid w:val="00130433"/>
    <w:rsid w:val="001341EF"/>
    <w:rsid w:val="00142C9C"/>
    <w:rsid w:val="0016769F"/>
    <w:rsid w:val="00187979"/>
    <w:rsid w:val="00190D13"/>
    <w:rsid w:val="001C008E"/>
    <w:rsid w:val="001E0145"/>
    <w:rsid w:val="001F3FAD"/>
    <w:rsid w:val="00240114"/>
    <w:rsid w:val="002502F1"/>
    <w:rsid w:val="00251571"/>
    <w:rsid w:val="00254257"/>
    <w:rsid w:val="002702BA"/>
    <w:rsid w:val="0027175D"/>
    <w:rsid w:val="002803F6"/>
    <w:rsid w:val="0029610A"/>
    <w:rsid w:val="002B7A7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4D7176"/>
    <w:rsid w:val="00503056"/>
    <w:rsid w:val="0052501B"/>
    <w:rsid w:val="00525356"/>
    <w:rsid w:val="0055279C"/>
    <w:rsid w:val="00563DB8"/>
    <w:rsid w:val="00564F9F"/>
    <w:rsid w:val="005857F1"/>
    <w:rsid w:val="005A70BA"/>
    <w:rsid w:val="005C4F29"/>
    <w:rsid w:val="005E3389"/>
    <w:rsid w:val="005E6C1A"/>
    <w:rsid w:val="005F009B"/>
    <w:rsid w:val="00616984"/>
    <w:rsid w:val="0062166A"/>
    <w:rsid w:val="0063692A"/>
    <w:rsid w:val="00683003"/>
    <w:rsid w:val="00683EE4"/>
    <w:rsid w:val="00692027"/>
    <w:rsid w:val="00697261"/>
    <w:rsid w:val="006A150A"/>
    <w:rsid w:val="006A4F57"/>
    <w:rsid w:val="006A7013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7642"/>
    <w:rsid w:val="00875187"/>
    <w:rsid w:val="00876CB9"/>
    <w:rsid w:val="008A2B7B"/>
    <w:rsid w:val="008A5475"/>
    <w:rsid w:val="008B4EF9"/>
    <w:rsid w:val="008C02EB"/>
    <w:rsid w:val="008D1ED1"/>
    <w:rsid w:val="008F7438"/>
    <w:rsid w:val="00913FB9"/>
    <w:rsid w:val="00954A4E"/>
    <w:rsid w:val="0097335C"/>
    <w:rsid w:val="0098655C"/>
    <w:rsid w:val="009A4914"/>
    <w:rsid w:val="009B4353"/>
    <w:rsid w:val="009E034B"/>
    <w:rsid w:val="00A3388C"/>
    <w:rsid w:val="00A44C8B"/>
    <w:rsid w:val="00A62214"/>
    <w:rsid w:val="00A87B1C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C52F0"/>
    <w:rsid w:val="00ED1883"/>
    <w:rsid w:val="00F00541"/>
    <w:rsid w:val="00F1681B"/>
    <w:rsid w:val="00F218B4"/>
    <w:rsid w:val="00F2604A"/>
    <w:rsid w:val="00F33E21"/>
    <w:rsid w:val="00F55A2F"/>
    <w:rsid w:val="00F6275F"/>
    <w:rsid w:val="00F66323"/>
    <w:rsid w:val="00F97B1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3131C-3A46-43F5-82F7-E3EBA74C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E353AE93BB89EEAEAF3EAB0F0A959F9DABF93D71622B489FE29DF5Bq1A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15420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2020-04-07T05:14:00Z</cp:lastPrinted>
  <dcterms:created xsi:type="dcterms:W3CDTF">2020-04-14T17:52:00Z</dcterms:created>
  <dcterms:modified xsi:type="dcterms:W3CDTF">2020-04-14T17:52:00Z</dcterms:modified>
</cp:coreProperties>
</file>