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Приложение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к постановлению администрации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МО Саракташский поссовет  </w:t>
      </w:r>
    </w:p>
    <w:p w:rsidR="005247AC" w:rsidRPr="00233AF2" w:rsidRDefault="005247AC" w:rsidP="005247AC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 w:rsidR="006974B0">
        <w:rPr>
          <w:color w:val="000000"/>
          <w:sz w:val="24"/>
          <w:szCs w:val="24"/>
        </w:rPr>
        <w:t xml:space="preserve"> </w:t>
      </w:r>
      <w:r w:rsidRPr="00233AF2">
        <w:rPr>
          <w:sz w:val="24"/>
          <w:szCs w:val="24"/>
        </w:rPr>
        <w:t xml:space="preserve">от </w:t>
      </w:r>
      <w:r w:rsidR="00233AF2" w:rsidRPr="00233AF2">
        <w:rPr>
          <w:sz w:val="24"/>
          <w:szCs w:val="24"/>
        </w:rPr>
        <w:t>1</w:t>
      </w:r>
      <w:r w:rsidR="00086F76">
        <w:rPr>
          <w:sz w:val="24"/>
          <w:szCs w:val="24"/>
        </w:rPr>
        <w:t>5</w:t>
      </w:r>
      <w:r w:rsidRPr="00233AF2">
        <w:rPr>
          <w:sz w:val="24"/>
          <w:szCs w:val="24"/>
        </w:rPr>
        <w:t>.0</w:t>
      </w:r>
      <w:r w:rsidR="00086F76">
        <w:rPr>
          <w:sz w:val="24"/>
          <w:szCs w:val="24"/>
        </w:rPr>
        <w:t>4</w:t>
      </w:r>
      <w:r w:rsidR="00233AF2" w:rsidRPr="00233AF2">
        <w:rPr>
          <w:sz w:val="24"/>
          <w:szCs w:val="24"/>
        </w:rPr>
        <w:t>.2021</w:t>
      </w:r>
      <w:r w:rsidRPr="00233AF2">
        <w:rPr>
          <w:sz w:val="24"/>
          <w:szCs w:val="24"/>
        </w:rPr>
        <w:t xml:space="preserve"> № </w:t>
      </w:r>
      <w:r w:rsidR="00086F76">
        <w:rPr>
          <w:sz w:val="24"/>
          <w:szCs w:val="24"/>
        </w:rPr>
        <w:t>125</w:t>
      </w:r>
      <w:r w:rsidRPr="00233AF2">
        <w:rPr>
          <w:sz w:val="24"/>
          <w:szCs w:val="24"/>
        </w:rPr>
        <w:t xml:space="preserve">-п                          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971437">
              <w:rPr>
                <w:rFonts w:ascii="Times New Roman" w:hAnsi="Times New Roman"/>
              </w:rPr>
              <w:t>32 643,0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4D7176">
              <w:rPr>
                <w:color w:val="000000"/>
                <w:sz w:val="24"/>
                <w:szCs w:val="24"/>
              </w:rPr>
              <w:t>4</w:t>
            </w:r>
            <w:r w:rsidR="006974B0">
              <w:rPr>
                <w:color w:val="000000"/>
                <w:sz w:val="24"/>
                <w:szCs w:val="24"/>
              </w:rPr>
              <w:t xml:space="preserve"> </w:t>
            </w:r>
            <w:r w:rsidR="004D7176">
              <w:rPr>
                <w:color w:val="000000"/>
                <w:sz w:val="24"/>
                <w:szCs w:val="24"/>
              </w:rPr>
              <w:t>630,5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A9093F">
              <w:rPr>
                <w:sz w:val="24"/>
                <w:szCs w:val="24"/>
              </w:rPr>
              <w:t>5</w:t>
            </w:r>
            <w:r w:rsidR="00086F76">
              <w:rPr>
                <w:sz w:val="24"/>
                <w:szCs w:val="24"/>
              </w:rPr>
              <w:t xml:space="preserve"> </w:t>
            </w:r>
            <w:r w:rsidR="00A9093F">
              <w:rPr>
                <w:sz w:val="24"/>
                <w:szCs w:val="24"/>
              </w:rPr>
              <w:t>865,4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6974B0">
              <w:rPr>
                <w:color w:val="000000"/>
                <w:sz w:val="24"/>
                <w:szCs w:val="24"/>
              </w:rPr>
              <w:t>2</w:t>
            </w:r>
            <w:r w:rsidR="00086F76">
              <w:rPr>
                <w:color w:val="000000"/>
                <w:sz w:val="24"/>
                <w:szCs w:val="24"/>
              </w:rPr>
              <w:t>1</w:t>
            </w:r>
            <w:r w:rsidR="006974B0">
              <w:rPr>
                <w:color w:val="000000"/>
                <w:sz w:val="24"/>
                <w:szCs w:val="24"/>
              </w:rPr>
              <w:t xml:space="preserve"> 218,7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A9093F">
              <w:rPr>
                <w:color w:val="000000"/>
                <w:sz w:val="24"/>
                <w:szCs w:val="24"/>
              </w:rPr>
              <w:t>928,4</w:t>
            </w:r>
            <w:r w:rsidRPr="00876CB9">
              <w:rPr>
                <w:color w:val="000000"/>
                <w:sz w:val="24"/>
                <w:szCs w:val="24"/>
              </w:rPr>
              <w:t>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 xml:space="preserve">2023 год -   </w:t>
            </w:r>
            <w:r w:rsidR="00A9093F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A9093F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E02AE5" w:rsidRPr="00876CB9" w:rsidRDefault="00E02AE5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lastRenderedPageBreak/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0E66C4" w:rsidRPr="00876CB9" w:rsidRDefault="000E66C4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5A70BA" w:rsidRPr="00876CB9" w:rsidRDefault="005A70BA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8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разработка проектной документации на объекты инженерной инфраструктуры по </w:t>
      </w:r>
      <w:r w:rsidRPr="00876CB9">
        <w:rPr>
          <w:color w:val="000000"/>
          <w:sz w:val="24"/>
          <w:szCs w:val="24"/>
        </w:rPr>
        <w:lastRenderedPageBreak/>
        <w:t>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DD384E" w:rsidRPr="00876CB9" w:rsidRDefault="00DD384E" w:rsidP="00DD384E">
      <w:pPr>
        <w:jc w:val="both"/>
        <w:outlineLvl w:val="1"/>
        <w:rPr>
          <w:b/>
          <w:color w:val="000000"/>
          <w:sz w:val="24"/>
          <w:szCs w:val="24"/>
        </w:rPr>
      </w:pP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A9093F">
        <w:rPr>
          <w:color w:val="000000"/>
          <w:sz w:val="24"/>
          <w:szCs w:val="24"/>
        </w:rPr>
        <w:t>3</w:t>
      </w:r>
      <w:r w:rsidR="00971437">
        <w:rPr>
          <w:color w:val="000000"/>
          <w:sz w:val="24"/>
          <w:szCs w:val="24"/>
        </w:rPr>
        <w:t xml:space="preserve">2 </w:t>
      </w:r>
      <w:r w:rsidR="00A9093F">
        <w:rPr>
          <w:color w:val="000000"/>
          <w:sz w:val="24"/>
          <w:szCs w:val="24"/>
        </w:rPr>
        <w:t>643,0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205ADE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</w:t>
      </w:r>
    </w:p>
    <w:p w:rsidR="00CF582B" w:rsidRPr="00816349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5ADE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 </w:t>
      </w:r>
      <w:r w:rsidR="004D7176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974B0" w:rsidRDefault="006974B0" w:rsidP="00DD384E">
      <w:pPr>
        <w:tabs>
          <w:tab w:val="left" w:pos="5220"/>
        </w:tabs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3402"/>
        <w:gridCol w:w="2552"/>
        <w:gridCol w:w="708"/>
        <w:gridCol w:w="709"/>
        <w:gridCol w:w="1559"/>
        <w:gridCol w:w="993"/>
        <w:gridCol w:w="992"/>
        <w:gridCol w:w="1134"/>
        <w:gridCol w:w="850"/>
        <w:gridCol w:w="567"/>
        <w:gridCol w:w="567"/>
      </w:tblGrid>
      <w:tr w:rsidR="00CF582B" w:rsidRPr="00876CB9" w:rsidTr="00254FFE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340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255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976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FB0188" w:rsidRPr="00876CB9" w:rsidTr="00086F76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3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FB0188" w:rsidRPr="00876CB9" w:rsidTr="00086F76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F582B" w:rsidRPr="00876CB9" w:rsidRDefault="00CF582B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B0188" w:rsidRPr="00876CB9" w:rsidTr="00086F76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875187" w:rsidP="00875187">
            <w:pPr>
              <w:spacing w:line="233" w:lineRule="auto"/>
              <w:ind w:right="-250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ная пр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340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255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AF5331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AF5331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5865,4</w:t>
            </w:r>
          </w:p>
        </w:tc>
        <w:tc>
          <w:tcPr>
            <w:tcW w:w="1134" w:type="dxa"/>
          </w:tcPr>
          <w:p w:rsidR="00AF5331" w:rsidRPr="00876CB9" w:rsidRDefault="00086F76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  <w:r w:rsidR="00FB0188">
              <w:rPr>
                <w:b/>
                <w:color w:val="000000"/>
                <w:sz w:val="24"/>
                <w:szCs w:val="24"/>
              </w:rPr>
              <w:t>218,7</w:t>
            </w:r>
          </w:p>
        </w:tc>
        <w:tc>
          <w:tcPr>
            <w:tcW w:w="850" w:type="dxa"/>
          </w:tcPr>
          <w:p w:rsidR="00AF5331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567" w:type="dxa"/>
          </w:tcPr>
          <w:p w:rsidR="00AF5331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5331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5865,4</w:t>
            </w:r>
          </w:p>
        </w:tc>
        <w:tc>
          <w:tcPr>
            <w:tcW w:w="1134" w:type="dxa"/>
          </w:tcPr>
          <w:p w:rsidR="0002310E" w:rsidRPr="00876CB9" w:rsidRDefault="00086F76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  <w:r w:rsidR="006974B0">
              <w:rPr>
                <w:b/>
                <w:color w:val="000000"/>
                <w:sz w:val="24"/>
                <w:szCs w:val="24"/>
              </w:rPr>
              <w:t>218,7</w:t>
            </w:r>
          </w:p>
        </w:tc>
        <w:tc>
          <w:tcPr>
            <w:tcW w:w="850" w:type="dxa"/>
          </w:tcPr>
          <w:p w:rsidR="0002310E" w:rsidRPr="00876CB9" w:rsidRDefault="006019E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340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254FFE">
              <w:rPr>
                <w:b/>
                <w:i/>
                <w:color w:val="000000"/>
                <w:sz w:val="24"/>
                <w:szCs w:val="24"/>
                <w:lang w:val="en-US"/>
              </w:rPr>
              <w:t>0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5865,4</w:t>
            </w:r>
          </w:p>
        </w:tc>
        <w:tc>
          <w:tcPr>
            <w:tcW w:w="1134" w:type="dxa"/>
          </w:tcPr>
          <w:p w:rsidR="0002310E" w:rsidRPr="00876CB9" w:rsidRDefault="00086F76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21</w:t>
            </w:r>
            <w:r w:rsidR="00FB0188">
              <w:rPr>
                <w:b/>
                <w:i/>
                <w:color w:val="000000"/>
                <w:sz w:val="24"/>
                <w:szCs w:val="24"/>
              </w:rPr>
              <w:t>218,7</w:t>
            </w:r>
          </w:p>
        </w:tc>
        <w:tc>
          <w:tcPr>
            <w:tcW w:w="850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254FF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7200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0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254FF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7200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0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254FFE">
              <w:rPr>
                <w:b/>
                <w:i/>
                <w:color w:val="000000"/>
                <w:sz w:val="24"/>
                <w:szCs w:val="24"/>
                <w:lang w:val="en-US"/>
              </w:rPr>
              <w:t>0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173</w:t>
            </w:r>
            <w:r w:rsidR="00DA52DA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5865,4</w:t>
            </w:r>
          </w:p>
        </w:tc>
        <w:tc>
          <w:tcPr>
            <w:tcW w:w="1134" w:type="dxa"/>
          </w:tcPr>
          <w:p w:rsidR="0002310E" w:rsidRPr="00876CB9" w:rsidRDefault="00086F76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21</w:t>
            </w:r>
            <w:r w:rsidR="00FB0188">
              <w:rPr>
                <w:b/>
                <w:i/>
                <w:color w:val="000000"/>
                <w:sz w:val="24"/>
                <w:szCs w:val="24"/>
              </w:rPr>
              <w:t>218,7</w:t>
            </w:r>
          </w:p>
        </w:tc>
        <w:tc>
          <w:tcPr>
            <w:tcW w:w="850" w:type="dxa"/>
          </w:tcPr>
          <w:p w:rsidR="0002310E" w:rsidRPr="00876CB9" w:rsidRDefault="006019E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60"/>
        </w:trPr>
        <w:tc>
          <w:tcPr>
            <w:tcW w:w="426" w:type="dxa"/>
            <w:vMerge w:val="restart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3402" w:type="dxa"/>
            <w:vMerge w:val="restart"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865B4F" w:rsidRPr="00876CB9" w:rsidRDefault="00865B4F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объектов  инженерной инфраструктуры микрорайона Западный, в том числе к земельным участкам, предоставляемым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многодетным семьям</w:t>
            </w:r>
          </w:p>
          <w:p w:rsidR="00865B4F" w:rsidRPr="00876CB9" w:rsidRDefault="00865B4F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1307B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1549,5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Бюджет сельских </w:t>
            </w: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1549,5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1307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243,0</w:t>
            </w:r>
          </w:p>
        </w:tc>
        <w:tc>
          <w:tcPr>
            <w:tcW w:w="1134" w:type="dxa"/>
          </w:tcPr>
          <w:p w:rsidR="00865B4F" w:rsidRPr="006019EF" w:rsidRDefault="00086F76" w:rsidP="00086F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65B4F" w:rsidRPr="006019E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848"/>
        </w:trPr>
        <w:tc>
          <w:tcPr>
            <w:tcW w:w="426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  <w:p w:rsidR="006019EF" w:rsidRPr="00876CB9" w:rsidRDefault="006019EF" w:rsidP="00865B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19EF" w:rsidRPr="006019E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243,0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19EF" w:rsidRPr="006019EF" w:rsidRDefault="00086F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019EF" w:rsidRPr="006019E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850" w:type="dxa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A9093F" w:rsidP="00CC55E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Водоотведение</w:t>
            </w:r>
            <w:r w:rsidR="00865B4F" w:rsidRPr="00876CB9">
              <w:rPr>
                <w:color w:val="000000"/>
                <w:sz w:val="24"/>
                <w:szCs w:val="24"/>
              </w:rPr>
              <w:t xml:space="preserve"> 2.8 км,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1306,5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254FFE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="00865B4F" w:rsidRPr="00876CB9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1306,5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876CB9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876CB9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65B4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FB0188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0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D97C0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137</w:t>
            </w:r>
            <w:r w:rsidR="00D97C06" w:rsidRPr="006019EF">
              <w:rPr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0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497"/>
        </w:trPr>
        <w:tc>
          <w:tcPr>
            <w:tcW w:w="426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425A" w:rsidRPr="00876CB9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8425A" w:rsidRPr="00876CB9" w:rsidRDefault="0098425A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993" w:type="dxa"/>
            <w:shd w:val="clear" w:color="auto" w:fill="auto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98425A" w:rsidRPr="006019EF" w:rsidRDefault="00FB0188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98425A" w:rsidRPr="006019EF" w:rsidRDefault="0098425A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6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2552" w:type="dxa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57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0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671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15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452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3" w:type="dxa"/>
            <w:shd w:val="clear" w:color="auto" w:fill="auto"/>
          </w:tcPr>
          <w:p w:rsidR="00FB0188" w:rsidRPr="00876CB9" w:rsidRDefault="00FB0188" w:rsidP="004A5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137,8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69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993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37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7200140010</w:t>
            </w:r>
          </w:p>
        </w:tc>
        <w:tc>
          <w:tcPr>
            <w:tcW w:w="993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850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A9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A9093F" w:rsidP="00A9093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697261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697261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  <w:r w:rsidR="00FE7435"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2310E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01"/>
        </w:trPr>
        <w:tc>
          <w:tcPr>
            <w:tcW w:w="426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п. Саракташ</w:t>
            </w:r>
          </w:p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3677,3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3677,3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25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019EF" w:rsidRPr="00C82C6C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Сливная станция для приема хозяйственно-бытовых стоков п.Саракташ, в т.ч. ПИР</w:t>
            </w: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2050,2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720014001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2050,2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52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в п. Саракташ, в т.ч. ПИР</w:t>
            </w: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1627,1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3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086F76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6019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1627,1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9093F" w:rsidRPr="00876CB9" w:rsidTr="00086F76">
        <w:trPr>
          <w:trHeight w:val="150"/>
        </w:trPr>
        <w:tc>
          <w:tcPr>
            <w:tcW w:w="426" w:type="dxa"/>
            <w:vMerge w:val="restart"/>
          </w:tcPr>
          <w:p w:rsidR="00A9093F" w:rsidRPr="00876CB9" w:rsidRDefault="00A9093F" w:rsidP="00F958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A9093F" w:rsidRPr="00876CB9" w:rsidRDefault="00A9093F" w:rsidP="00F958BF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6B0C7A" w:rsidRPr="006B0C7A" w:rsidRDefault="006B0C7A" w:rsidP="006B0C7A">
            <w:pPr>
              <w:pStyle w:val="ConsPlusNonformat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0C7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Благоустройство детской спортивной площадки по адресу: п.Саракташ, ул.8 Марта, 4</w:t>
            </w:r>
          </w:p>
          <w:p w:rsidR="00A9093F" w:rsidRPr="00876CB9" w:rsidRDefault="00A9093F" w:rsidP="00F958BF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9093F" w:rsidRPr="00876CB9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9093F" w:rsidRPr="00876CB9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9093F" w:rsidRPr="00876CB9" w:rsidRDefault="00254FFE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72002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993" w:type="dxa"/>
            <w:shd w:val="clear" w:color="auto" w:fill="auto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567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093F" w:rsidRPr="006019EF" w:rsidRDefault="00A9093F" w:rsidP="00F958BF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A9093F" w:rsidRPr="00876CB9" w:rsidTr="00086F76">
        <w:trPr>
          <w:trHeight w:val="150"/>
        </w:trPr>
        <w:tc>
          <w:tcPr>
            <w:tcW w:w="426" w:type="dxa"/>
            <w:vMerge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093F" w:rsidRPr="00876CB9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9093F" w:rsidRDefault="00A9093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093F" w:rsidRPr="00876CB9" w:rsidRDefault="00A9093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A9093F" w:rsidRPr="00876CB9" w:rsidRDefault="00A9093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9093F" w:rsidRPr="00876CB9" w:rsidRDefault="00A9093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9093F" w:rsidRPr="00254FFE" w:rsidRDefault="00254FFE" w:rsidP="006019E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72002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993" w:type="dxa"/>
            <w:shd w:val="clear" w:color="auto" w:fill="auto"/>
          </w:tcPr>
          <w:p w:rsidR="00A9093F" w:rsidRDefault="00A9093F" w:rsidP="00F958BF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928,4</w:t>
            </w:r>
          </w:p>
        </w:tc>
        <w:tc>
          <w:tcPr>
            <w:tcW w:w="567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A9093F" w:rsidRPr="00876CB9" w:rsidTr="00086F76">
        <w:trPr>
          <w:trHeight w:val="150"/>
        </w:trPr>
        <w:tc>
          <w:tcPr>
            <w:tcW w:w="426" w:type="dxa"/>
            <w:vMerge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093F" w:rsidRPr="00876CB9" w:rsidRDefault="00A9093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9093F" w:rsidRDefault="00A9093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9093F" w:rsidRPr="00876CB9" w:rsidRDefault="00A9093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A9093F" w:rsidRPr="00876CB9" w:rsidRDefault="00A9093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9093F" w:rsidRPr="00876CB9" w:rsidRDefault="00A9093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9093F" w:rsidRDefault="00254FFE" w:rsidP="006019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72000</w:t>
            </w:r>
            <w:r w:rsidR="00A9093F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3" w:type="dxa"/>
            <w:shd w:val="clear" w:color="auto" w:fill="auto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9093F" w:rsidRDefault="00A9093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958" w:rsidRDefault="00791958">
      <w:r>
        <w:separator/>
      </w:r>
    </w:p>
  </w:endnote>
  <w:endnote w:type="continuationSeparator" w:id="0">
    <w:p w:rsidR="00791958" w:rsidRDefault="0079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958" w:rsidRDefault="00791958">
      <w:r>
        <w:separator/>
      </w:r>
    </w:p>
  </w:footnote>
  <w:footnote w:type="continuationSeparator" w:id="0">
    <w:p w:rsidR="00791958" w:rsidRDefault="0079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1CBD"/>
    <w:rsid w:val="0002310E"/>
    <w:rsid w:val="00030322"/>
    <w:rsid w:val="00031ADA"/>
    <w:rsid w:val="00033376"/>
    <w:rsid w:val="0004426D"/>
    <w:rsid w:val="00071AD0"/>
    <w:rsid w:val="00082107"/>
    <w:rsid w:val="00083949"/>
    <w:rsid w:val="00086F76"/>
    <w:rsid w:val="000A11B6"/>
    <w:rsid w:val="000A7863"/>
    <w:rsid w:val="000E66C4"/>
    <w:rsid w:val="000F6840"/>
    <w:rsid w:val="001179C4"/>
    <w:rsid w:val="00130433"/>
    <w:rsid w:val="001307B7"/>
    <w:rsid w:val="001341EF"/>
    <w:rsid w:val="00142C9C"/>
    <w:rsid w:val="0016769F"/>
    <w:rsid w:val="00183033"/>
    <w:rsid w:val="00187979"/>
    <w:rsid w:val="00190D13"/>
    <w:rsid w:val="001C008E"/>
    <w:rsid w:val="001E0145"/>
    <w:rsid w:val="001F3FAD"/>
    <w:rsid w:val="00205ADE"/>
    <w:rsid w:val="00233AF2"/>
    <w:rsid w:val="00240114"/>
    <w:rsid w:val="002502F1"/>
    <w:rsid w:val="00251571"/>
    <w:rsid w:val="00254257"/>
    <w:rsid w:val="00254FFE"/>
    <w:rsid w:val="002702BA"/>
    <w:rsid w:val="0027175D"/>
    <w:rsid w:val="002803F6"/>
    <w:rsid w:val="002B7A7A"/>
    <w:rsid w:val="0030495A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7406D"/>
    <w:rsid w:val="00483ECF"/>
    <w:rsid w:val="00491CC0"/>
    <w:rsid w:val="004A20BB"/>
    <w:rsid w:val="004A5660"/>
    <w:rsid w:val="004B4577"/>
    <w:rsid w:val="004C33E9"/>
    <w:rsid w:val="004C5765"/>
    <w:rsid w:val="004D7176"/>
    <w:rsid w:val="004F6BE1"/>
    <w:rsid w:val="00503056"/>
    <w:rsid w:val="005039F4"/>
    <w:rsid w:val="005247AC"/>
    <w:rsid w:val="0052501B"/>
    <w:rsid w:val="00525356"/>
    <w:rsid w:val="0055279C"/>
    <w:rsid w:val="00563DB8"/>
    <w:rsid w:val="00564F9F"/>
    <w:rsid w:val="005857F1"/>
    <w:rsid w:val="005A70BA"/>
    <w:rsid w:val="005C4F29"/>
    <w:rsid w:val="005E3389"/>
    <w:rsid w:val="005E6C1A"/>
    <w:rsid w:val="005F009B"/>
    <w:rsid w:val="006019EF"/>
    <w:rsid w:val="00616984"/>
    <w:rsid w:val="0062166A"/>
    <w:rsid w:val="0063692A"/>
    <w:rsid w:val="00653BC3"/>
    <w:rsid w:val="00683003"/>
    <w:rsid w:val="00683EE4"/>
    <w:rsid w:val="00692027"/>
    <w:rsid w:val="00697261"/>
    <w:rsid w:val="006974B0"/>
    <w:rsid w:val="006A4F57"/>
    <w:rsid w:val="006A7013"/>
    <w:rsid w:val="006B0C7A"/>
    <w:rsid w:val="006B453C"/>
    <w:rsid w:val="006E792E"/>
    <w:rsid w:val="00726D46"/>
    <w:rsid w:val="00733722"/>
    <w:rsid w:val="0073521B"/>
    <w:rsid w:val="00745E2E"/>
    <w:rsid w:val="00771469"/>
    <w:rsid w:val="007773E1"/>
    <w:rsid w:val="00782243"/>
    <w:rsid w:val="00791958"/>
    <w:rsid w:val="007A44F3"/>
    <w:rsid w:val="007B1751"/>
    <w:rsid w:val="007B47A6"/>
    <w:rsid w:val="007C1F49"/>
    <w:rsid w:val="007D347A"/>
    <w:rsid w:val="007E2C70"/>
    <w:rsid w:val="007E7122"/>
    <w:rsid w:val="00806AF0"/>
    <w:rsid w:val="00813913"/>
    <w:rsid w:val="00816349"/>
    <w:rsid w:val="0082167B"/>
    <w:rsid w:val="00861A8E"/>
    <w:rsid w:val="00865B4F"/>
    <w:rsid w:val="00867642"/>
    <w:rsid w:val="00875187"/>
    <w:rsid w:val="00876CB9"/>
    <w:rsid w:val="008A2B7B"/>
    <w:rsid w:val="008A5475"/>
    <w:rsid w:val="008A558B"/>
    <w:rsid w:val="008B4EF9"/>
    <w:rsid w:val="008C02EB"/>
    <w:rsid w:val="008D1ED1"/>
    <w:rsid w:val="008F7438"/>
    <w:rsid w:val="00913FB9"/>
    <w:rsid w:val="00954A4E"/>
    <w:rsid w:val="00971437"/>
    <w:rsid w:val="0098425A"/>
    <w:rsid w:val="0098655C"/>
    <w:rsid w:val="009A4914"/>
    <w:rsid w:val="009B4353"/>
    <w:rsid w:val="009D7EEB"/>
    <w:rsid w:val="009E034B"/>
    <w:rsid w:val="00A3388C"/>
    <w:rsid w:val="00A44C8B"/>
    <w:rsid w:val="00A62214"/>
    <w:rsid w:val="00A87B1C"/>
    <w:rsid w:val="00A9093F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C1614E"/>
    <w:rsid w:val="00C553A8"/>
    <w:rsid w:val="00C57BA1"/>
    <w:rsid w:val="00C64889"/>
    <w:rsid w:val="00C76198"/>
    <w:rsid w:val="00C770B1"/>
    <w:rsid w:val="00C8054F"/>
    <w:rsid w:val="00C82C6C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D1883"/>
    <w:rsid w:val="00F00541"/>
    <w:rsid w:val="00F1681B"/>
    <w:rsid w:val="00F218B4"/>
    <w:rsid w:val="00F2604A"/>
    <w:rsid w:val="00F33E21"/>
    <w:rsid w:val="00F6275F"/>
    <w:rsid w:val="00F66323"/>
    <w:rsid w:val="00F958BF"/>
    <w:rsid w:val="00F97B1A"/>
    <w:rsid w:val="00FB0188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503A8-5D7D-422F-AFC6-0403A54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6B0C7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BE353AE93BB89EEAEAF3EAB0F0A959F9DABF93D71622B489FE29DF5Bq1A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B719-7A85-4F33-B152-C467C4CE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16852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3</cp:revision>
  <cp:lastPrinted>2021-04-16T10:16:00Z</cp:lastPrinted>
  <dcterms:created xsi:type="dcterms:W3CDTF">2021-04-28T03:17:00Z</dcterms:created>
  <dcterms:modified xsi:type="dcterms:W3CDTF">2021-04-28T03:17:00Z</dcterms:modified>
</cp:coreProperties>
</file>