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  <w:bookmarkStart w:id="0" w:name="_GoBack"/>
      <w:bookmarkEnd w:id="0"/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085F03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разработки, реализации и оценки эффективности</w:t>
      </w:r>
    </w:p>
    <w:p w:rsidR="00103480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>
        <w:rPr>
          <w:b/>
        </w:rPr>
        <w:t xml:space="preserve">муниципальных </w:t>
      </w:r>
      <w:r w:rsidR="00085F03" w:rsidRPr="00085F03">
        <w:rPr>
          <w:b/>
        </w:rPr>
        <w:t xml:space="preserve">программ </w:t>
      </w:r>
      <w:r w:rsidR="00EC0F27">
        <w:rPr>
          <w:b/>
        </w:rPr>
        <w:t>Саракташского поссовета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F27EB4">
      <w:pPr>
        <w:pStyle w:val="ConsPlusTitle"/>
        <w:numPr>
          <w:ilvl w:val="0"/>
          <w:numId w:val="2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C0A99" w:rsidRDefault="00FC0A99" w:rsidP="00FC0A99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разработки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, реализации и проведения оценки эффективности реализации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.</w:t>
      </w:r>
      <w:r w:rsidRPr="0076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3C6" w:rsidRPr="00E4220B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>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181C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5E53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1" w:name="sub_10042"/>
      <w:r w:rsidR="00EA14D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поссовета.</w:t>
      </w:r>
    </w:p>
    <w:bookmarkEnd w:id="1"/>
    <w:p w:rsidR="005071CA" w:rsidRPr="00A05121" w:rsidRDefault="005071CA" w:rsidP="005E53C2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2D004D" w:rsidRPr="004A3714">
        <w:rPr>
          <w:rFonts w:ascii="Times New Roman" w:hAnsi="Times New Roman"/>
          <w:sz w:val="28"/>
          <w:szCs w:val="28"/>
        </w:rPr>
        <w:t xml:space="preserve"> Саракташского района;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>Понятия «региональный проект» и «приоритетный проект» 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актами, устанавливающими порядок организации проектной 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исполнительной власти, соответствующих положениям о таких органах исполнительной власти. 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Pr="00203AEA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91731C" w:rsidRPr="005E35DB" w:rsidRDefault="0091731C" w:rsidP="0091731C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6584E" w:rsidRPr="0094487E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осуществляется исходя из следующих принципов:</w:t>
      </w:r>
    </w:p>
    <w:p w:rsidR="00C23054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EC0F27" w:rsidRPr="00EC0F27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lastRenderedPageBreak/>
        <w:t>Саракташского поссовета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прогнозе социально-экономического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на долгосрочный период, </w:t>
      </w:r>
      <w:hyperlink r:id="rId8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9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на долгосрочный период;</w:t>
      </w:r>
    </w:p>
    <w:p w:rsidR="00C23054" w:rsidRPr="0076584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соответствующих показателей национальных целей;</w:t>
      </w:r>
    </w:p>
    <w:p w:rsidR="0076584E" w:rsidRPr="00305123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EC0F27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677F1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приоритетов социально-экономического развития, 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>приводится следующая информация: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исполнительной власти,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800DB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lastRenderedPageBreak/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EC76EB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6EB">
        <w:rPr>
          <w:rFonts w:ascii="Times New Roman" w:hAnsi="Times New Roman" w:cs="Times New Roman"/>
          <w:sz w:val="28"/>
          <w:szCs w:val="28"/>
        </w:rPr>
        <w:t>з)</w:t>
      </w:r>
      <w:r w:rsidR="0091731C" w:rsidRPr="00EC76EB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EC76E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EC76EB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EC76EB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EC76EB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неналоговых расходов по форме согласно приложению № 5.</w:t>
      </w:r>
      <w:r w:rsidR="00734C10" w:rsidRPr="00EC76E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EC76EB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EC76EB" w:rsidRDefault="00BC426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EC76EB">
        <w:rPr>
          <w:rFonts w:ascii="Times New Roman" w:hAnsi="Times New Roman" w:cs="Times New Roman"/>
          <w:sz w:val="28"/>
          <w:szCs w:val="28"/>
        </w:rPr>
        <w:t>муниципальной</w:t>
      </w: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EC0F27" w:rsidRPr="00EC76EB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EC76EB">
        <w:rPr>
          <w:rFonts w:ascii="Times New Roman" w:hAnsi="Times New Roman" w:cs="Times New Roman"/>
          <w:sz w:val="28"/>
          <w:szCs w:val="28"/>
        </w:rPr>
        <w:t>муниципальной</w:t>
      </w: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EC76EB">
        <w:rPr>
          <w:rFonts w:ascii="Times New Roman" w:hAnsi="Times New Roman" w:cs="Times New Roman"/>
          <w:sz w:val="28"/>
          <w:szCs w:val="28"/>
        </w:rPr>
        <w:t>муниципальной</w:t>
      </w:r>
      <w:r w:rsidRPr="00EC76E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>а исключением обусловленных 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33F99">
        <w:rPr>
          <w:rFonts w:ascii="Times New Roman" w:hAnsi="Times New Roman" w:cs="Times New Roman"/>
          <w:sz w:val="28"/>
          <w:szCs w:val="28"/>
        </w:rPr>
        <w:t xml:space="preserve"> (администрации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33F99">
        <w:rPr>
          <w:rFonts w:ascii="Times New Roman" w:hAnsi="Times New Roman" w:cs="Times New Roman"/>
          <w:sz w:val="28"/>
          <w:szCs w:val="28"/>
        </w:rPr>
        <w:t>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7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>ее 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5E53C2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0A3AAC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1731C" w:rsidRP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(администрации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>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Pr="00C510B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(администрации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C510BE" w:rsidRPr="00C510BE">
        <w:rPr>
          <w:rFonts w:ascii="Times New Roman" w:hAnsi="Times New Roman" w:cs="Times New Roman"/>
          <w:sz w:val="28"/>
          <w:szCs w:val="28"/>
        </w:rPr>
        <w:t>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4" w:name="P206"/>
      <w:bookmarkEnd w:id="4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4D08D9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A3C9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C7519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>прилагаются 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C0F27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5C692C">
        <w:rPr>
          <w:rFonts w:ascii="Times New Roman" w:hAnsi="Times New Roman" w:cs="Times New Roman"/>
          <w:sz w:val="28"/>
          <w:szCs w:val="28"/>
        </w:rPr>
        <w:t>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065F6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EC0F2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236"/>
      <w:bookmarkEnd w:id="5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EB38A6">
      <w:pPr>
        <w:pStyle w:val="ConsPlusNormal"/>
        <w:spacing w:before="240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 xml:space="preserve">с региональными органами власти и (или) органами власти Саркташского района, документов стратегического планирования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1279FB">
        <w:rPr>
          <w:rFonts w:ascii="Times New Roman" w:hAnsi="Times New Roman" w:cs="Times New Roman"/>
          <w:sz w:val="28"/>
          <w:szCs w:val="28"/>
        </w:rPr>
        <w:t>.</w:t>
      </w:r>
    </w:p>
    <w:p w:rsidR="00EB38A6" w:rsidRPr="009C6A0F" w:rsidRDefault="00EB38A6" w:rsidP="00EB38A6">
      <w:pPr>
        <w:pStyle w:val="ConsPlusNormal"/>
        <w:spacing w:before="240" w:after="100" w:afterAutospacing="1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(администрации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96D2C" w:rsidRDefault="00996D2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1731C" w:rsidRPr="00140CD0" w:rsidRDefault="0091731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91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917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C630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FB4F4C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>, мероприятий (результатов) их структурных 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A372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BB5471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6179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487043">
        <w:rPr>
          <w:rFonts w:ascii="Times New Roman" w:hAnsi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>принимается одно из следующих решений: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A372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A37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C5CA9" w:rsidSect="00CF0C7C">
          <w:headerReference w:type="even" r:id="rId10"/>
          <w:headerReference w:type="default" r:id="rId11"/>
          <w:pgSz w:w="11906" w:h="16840"/>
          <w:pgMar w:top="1134" w:right="851" w:bottom="1134" w:left="1701" w:header="357" w:footer="0" w:gutter="0"/>
          <w:cols w:space="720"/>
          <w:noEndnote/>
          <w:titlePg/>
          <w:docGrid w:linePitch="326"/>
        </w:sectPr>
      </w:pP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3835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CF0C7C" w:rsidRDefault="00915918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CF0C7C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Default="00B8466C" w:rsidP="00B8466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</w:t>
      </w:r>
      <w:r w:rsidR="00523543">
        <w:rPr>
          <w:rFonts w:ascii="Times New Roman" w:hAnsi="Times New Roman" w:cs="Times New Roman"/>
          <w:sz w:val="28"/>
          <w:szCs w:val="28"/>
        </w:rPr>
        <w:t xml:space="preserve"> </w:t>
      </w:r>
      <w:r w:rsidR="00915918"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CF0C7C" w:rsidRDefault="00EC76EB" w:rsidP="00CF0C7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22CC">
        <w:rPr>
          <w:rFonts w:ascii="Times New Roman" w:hAnsi="Times New Roman" w:cs="Times New Roman"/>
          <w:i/>
          <w:sz w:val="28"/>
          <w:szCs w:val="28"/>
        </w:rPr>
        <w:t>(н</w:t>
      </w:r>
      <w:r w:rsidR="00CF0C7C" w:rsidRPr="00CF0C7C">
        <w:rPr>
          <w:rFonts w:ascii="Times New Roman" w:hAnsi="Times New Roman" w:cs="Times New Roman"/>
          <w:i/>
          <w:sz w:val="28"/>
          <w:szCs w:val="28"/>
        </w:rPr>
        <w:t xml:space="preserve">аименование </w:t>
      </w:r>
      <w:r w:rsidR="00915918" w:rsidRPr="00915918">
        <w:rPr>
          <w:rFonts w:ascii="Times New Roman" w:hAnsi="Times New Roman"/>
          <w:i/>
          <w:sz w:val="28"/>
          <w:szCs w:val="28"/>
        </w:rPr>
        <w:t>муниципальной</w:t>
      </w:r>
      <w:r w:rsidR="00CF0C7C" w:rsidRPr="00CF0C7C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="00FB22CC">
        <w:rPr>
          <w:rFonts w:ascii="Times New Roman" w:hAnsi="Times New Roman" w:cs="Times New Roman"/>
          <w:i/>
          <w:sz w:val="28"/>
          <w:szCs w:val="28"/>
        </w:rPr>
        <w:t>)</w:t>
      </w:r>
    </w:p>
    <w:p w:rsidR="00FB22CC" w:rsidRPr="00CF0C7C" w:rsidRDefault="00FB22CC" w:rsidP="00CF0C7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Ф.И.О.</w:t>
            </w:r>
            <w:r w:rsidR="008A3B7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D659F" w:rsidRPr="005D659F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средств бюджета</w:t>
            </w: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B76">
              <w:rPr>
                <w:rFonts w:ascii="Times New Roman" w:hAnsi="Times New Roman" w:cs="Times New Roman"/>
                <w:sz w:val="28"/>
                <w:szCs w:val="28"/>
              </w:rPr>
              <w:t>ХХХ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2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2"/>
          <w:headerReference w:type="default" r:id="rId13"/>
          <w:headerReference w:type="first" r:id="rId14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D52DD8" w:rsidRDefault="00B8466C" w:rsidP="00B8466C">
      <w:pPr>
        <w:widowControl/>
        <w:autoSpaceDE/>
        <w:autoSpaceDN/>
        <w:adjustRightInd/>
        <w:spacing w:line="259" w:lineRule="auto"/>
        <w:ind w:left="273" w:right="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8557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 w:rsidR="00B8466C">
              <w:rPr>
                <w:rFonts w:ascii="Times New Roman" w:hAnsi="Times New Roman" w:cs="Times New Roman"/>
                <w:sz w:val="28"/>
                <w:szCs w:val="28"/>
              </w:rPr>
              <w:t>Саракташского поссовета</w:t>
            </w:r>
            <w:r w:rsidR="00B8466C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4B2CE0" w:rsidRPr="00866BFD" w:rsidRDefault="00B8466C" w:rsidP="00B8466C">
      <w:pPr>
        <w:ind w:left="273" w:right="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1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2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6C5F6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цию (наименование 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4B2CE0" w:rsidRPr="00866BFD" w:rsidRDefault="00B8466C" w:rsidP="00B8466C">
      <w:pPr>
        <w:spacing w:line="259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4B2CE0" w:rsidRPr="00866BFD" w:rsidRDefault="00B8466C" w:rsidP="00B8466C">
      <w:pPr>
        <w:pStyle w:val="affffd"/>
        <w:spacing w:after="0"/>
        <w:ind w:left="273"/>
        <w:jc w:val="righ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8466C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BF2A9B" w:rsidRDefault="00B8466C" w:rsidP="00B8466C">
      <w:pPr>
        <w:spacing w:line="259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исполнительной власти,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B8466C" w:rsidRDefault="00147711" w:rsidP="00B8466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B8466C" w:rsidRPr="00B8466C" w:rsidRDefault="00B8466C" w:rsidP="00B8466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866BFD">
        <w:rPr>
          <w:rFonts w:ascii="Times New Roman" w:hAnsi="Times New Roman"/>
          <w:sz w:val="28"/>
          <w:szCs w:val="28"/>
        </w:rPr>
        <w:t xml:space="preserve"> </w:t>
      </w:r>
    </w:p>
    <w:p w:rsidR="004B2CE0" w:rsidRPr="00866BFD" w:rsidRDefault="004B2CE0" w:rsidP="00B8466C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  <w:hyperlink r:id="rId15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B8466C" w:rsidRDefault="00147711" w:rsidP="00B8466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B8466C" w:rsidRPr="00B8466C" w:rsidRDefault="00B8466C" w:rsidP="00B8466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866BFD">
        <w:rPr>
          <w:rFonts w:ascii="Times New Roman" w:hAnsi="Times New Roman"/>
          <w:sz w:val="28"/>
          <w:szCs w:val="28"/>
        </w:rPr>
        <w:t xml:space="preserve"> 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B8466C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B8466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</w:t>
            </w:r>
            <w:r w:rsidR="00B8466C">
              <w:rPr>
                <w:rFonts w:ascii="Times New Roman" w:hAnsi="Times New Roman" w:cs="Times New Roman"/>
                <w:sz w:val="28"/>
                <w:szCs w:val="28"/>
              </w:rPr>
              <w:t>Саракташского поссовета</w:t>
            </w:r>
            <w:r w:rsidR="00B8466C" w:rsidRPr="00A60631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A60631">
              <w:rPr>
                <w:rFonts w:ascii="Times New Roman" w:hAnsi="Times New Roman" w:cs="Times New Roman"/>
                <w:color w:val="22272F"/>
              </w:rPr>
              <w:t>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</w:t>
            </w:r>
            <w:r w:rsidR="00B8466C">
              <w:rPr>
                <w:rFonts w:ascii="Times New Roman" w:hAnsi="Times New Roman" w:cs="Times New Roman"/>
                <w:sz w:val="28"/>
                <w:szCs w:val="28"/>
              </w:rPr>
              <w:t>Саракташского поссовета</w:t>
            </w:r>
            <w:r w:rsidR="00B8466C" w:rsidRPr="00A60631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A60631">
              <w:rPr>
                <w:rFonts w:ascii="Times New Roman" w:hAnsi="Times New Roman" w:cs="Times New Roman"/>
                <w:color w:val="22272F"/>
              </w:rPr>
              <w:t>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B8466C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B8466C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74C46" w:rsidRDefault="00574C46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A23784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A23784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A2378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A2378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A2378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A2378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79337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6DBD"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975" cy="447675"/>
            <wp:effectExtent l="0" t="0" r="9525" b="9525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784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79337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6DBD"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28775" cy="447675"/>
            <wp:effectExtent l="0" t="0" r="9525" b="9525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793370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229235</wp:posOffset>
                </wp:positionV>
                <wp:extent cx="628015" cy="2667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070" w:rsidRDefault="00227070" w:rsidP="004D6DBD">
                            <w:pPr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.9pt;margin-top:18.05pt;width:49.45pt;height:2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" filled="f" stroked="f">
                <v:textbox style="mso-fit-shape-to-text:t">
                  <w:txbxContent>
                    <w:p w:rsidR="00227070" w:rsidRDefault="00227070" w:rsidP="004D6DBD">
                      <w:pPr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B5" w:rsidRDefault="00AE11B5" w:rsidP="00417AFD">
      <w:r>
        <w:separator/>
      </w:r>
    </w:p>
  </w:endnote>
  <w:endnote w:type="continuationSeparator" w:id="0">
    <w:p w:rsidR="00AE11B5" w:rsidRDefault="00AE11B5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B5" w:rsidRDefault="00AE11B5" w:rsidP="00417AFD">
      <w:r>
        <w:separator/>
      </w:r>
    </w:p>
  </w:footnote>
  <w:footnote w:type="continuationSeparator" w:id="0">
    <w:p w:rsidR="00AE11B5" w:rsidRDefault="00AE11B5" w:rsidP="00417AFD">
      <w:r>
        <w:continuationSeparator/>
      </w:r>
    </w:p>
  </w:footnote>
  <w:footnote w:id="1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2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 w:rsidR="00EC76EB">
        <w:rPr>
          <w:b w:val="0"/>
          <w:lang w:val="ru-RU"/>
        </w:rPr>
        <w:t>Саракташского поссовета</w:t>
      </w:r>
      <w:r w:rsidRPr="00597BB1">
        <w:rPr>
          <w:b w:val="0"/>
        </w:rPr>
        <w:t>.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7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8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9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0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1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2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="00EC76EB">
        <w:rPr>
          <w:b w:val="0"/>
          <w:lang w:val="ru-RU"/>
        </w:rPr>
        <w:t>Саракташского поссовета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6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7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8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9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1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793370">
      <w:rPr>
        <w:rStyle w:val="affff2"/>
        <w:noProof/>
      </w:rPr>
      <w:t>6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fldChar w:fldCharType="begin"/>
    </w:r>
    <w:r>
      <w:instrText xml:space="preserve"> PAGE   \* MERGEFORMAT </w:instrText>
    </w:r>
    <w:r>
      <w:rPr>
        <w:b/>
      </w:rPr>
      <w:fldChar w:fldCharType="separate"/>
    </w:r>
    <w:r>
      <w:t>2</w:t>
    </w:r>
    <w:r>
      <w:rPr>
        <w:b/>
      </w:rPr>
      <w:fldChar w:fldCharType="end"/>
    </w:r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EC76EB" w:rsidRPr="00EC76EB">
      <w:rPr>
        <w:rFonts w:ascii="Times New Roman" w:hAnsi="Times New Roman" w:cs="Times New Roman"/>
        <w:b/>
        <w:noProof/>
      </w:rPr>
      <w:t>37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B94"/>
    <w:rsid w:val="00065CBE"/>
    <w:rsid w:val="00065F63"/>
    <w:rsid w:val="00066712"/>
    <w:rsid w:val="00066E0E"/>
    <w:rsid w:val="0006778E"/>
    <w:rsid w:val="000679A2"/>
    <w:rsid w:val="000702CB"/>
    <w:rsid w:val="00070F51"/>
    <w:rsid w:val="0007105B"/>
    <w:rsid w:val="0007113A"/>
    <w:rsid w:val="00071196"/>
    <w:rsid w:val="0007166D"/>
    <w:rsid w:val="00073410"/>
    <w:rsid w:val="00073566"/>
    <w:rsid w:val="0007495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C3A"/>
    <w:rsid w:val="00205180"/>
    <w:rsid w:val="00205A6E"/>
    <w:rsid w:val="00205CD9"/>
    <w:rsid w:val="00205DD9"/>
    <w:rsid w:val="0020701E"/>
    <w:rsid w:val="00210127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4077"/>
    <w:rsid w:val="0029533E"/>
    <w:rsid w:val="0029549C"/>
    <w:rsid w:val="002956BB"/>
    <w:rsid w:val="00296241"/>
    <w:rsid w:val="00296FF9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4B2"/>
    <w:rsid w:val="003D1C97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4FA9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3E9F"/>
    <w:rsid w:val="005A498D"/>
    <w:rsid w:val="005A6958"/>
    <w:rsid w:val="005A6C2A"/>
    <w:rsid w:val="005A7B8B"/>
    <w:rsid w:val="005B060C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370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757"/>
    <w:rsid w:val="00934D2A"/>
    <w:rsid w:val="00935258"/>
    <w:rsid w:val="00935506"/>
    <w:rsid w:val="00935EAC"/>
    <w:rsid w:val="00936F24"/>
    <w:rsid w:val="009371AD"/>
    <w:rsid w:val="009379DA"/>
    <w:rsid w:val="00937B8F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784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1B5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466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AEE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0F27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6EB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F249B78-BD5E-466A-A610-F8F18872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 w:val="x-none" w:eastAsia="x-none"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 w:val="x-none" w:eastAsia="x-none"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938A-5F74-46DD-B669-C0E11276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8180</Words>
  <Characters>46627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54698</CharactersWithSpaces>
  <SharedDoc>false</SharedDoc>
  <HLinks>
    <vt:vector size="30" baseType="variant">
      <vt:variant>
        <vt:i4>2228264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subject/>
  <dc:creator>Анна</dc:creator>
  <cp:keywords/>
  <cp:lastModifiedBy>Пользователь Windows</cp:lastModifiedBy>
  <cp:revision>3</cp:revision>
  <cp:lastPrinted>2022-10-28T04:56:00Z</cp:lastPrinted>
  <dcterms:created xsi:type="dcterms:W3CDTF">2022-11-21T06:07:00Z</dcterms:created>
  <dcterms:modified xsi:type="dcterms:W3CDTF">2022-11-21T06:07:00Z</dcterms:modified>
</cp:coreProperties>
</file>