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1E" w:rsidRPr="00B358AE" w:rsidRDefault="00CE141E" w:rsidP="00CE141E">
      <w:pPr>
        <w:shd w:val="clear" w:color="auto" w:fill="FFFFFF"/>
        <w:ind w:left="5245"/>
        <w:rPr>
          <w:spacing w:val="-2"/>
          <w:sz w:val="28"/>
          <w:szCs w:val="28"/>
        </w:rPr>
      </w:pPr>
      <w:r w:rsidRPr="00B358AE">
        <w:rPr>
          <w:sz w:val="28"/>
          <w:szCs w:val="28"/>
        </w:rPr>
        <w:t>Приложение к</w:t>
      </w:r>
    </w:p>
    <w:p w:rsidR="00CE141E" w:rsidRPr="00B358AE" w:rsidRDefault="00CE141E" w:rsidP="00CE141E">
      <w:pPr>
        <w:shd w:val="clear" w:color="auto" w:fill="FFFFFF"/>
        <w:ind w:left="5245"/>
        <w:rPr>
          <w:spacing w:val="-2"/>
          <w:sz w:val="28"/>
          <w:szCs w:val="28"/>
        </w:rPr>
      </w:pPr>
      <w:r w:rsidRPr="00B358AE">
        <w:rPr>
          <w:spacing w:val="-2"/>
          <w:sz w:val="28"/>
          <w:szCs w:val="28"/>
        </w:rPr>
        <w:t>постановлению администрации</w:t>
      </w:r>
    </w:p>
    <w:p w:rsidR="00CE141E" w:rsidRPr="00F5400D" w:rsidRDefault="00C94789" w:rsidP="00CE141E">
      <w:pPr>
        <w:shd w:val="clear" w:color="auto" w:fill="FFFFFF"/>
        <w:ind w:left="5245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>Саракташский поссовет</w:t>
      </w:r>
      <w:r w:rsidRPr="008B10A7">
        <w:rPr>
          <w:bCs/>
          <w:sz w:val="28"/>
          <w:szCs w:val="28"/>
        </w:rPr>
        <w:t xml:space="preserve">  </w:t>
      </w:r>
      <w:r w:rsidR="00CE141E" w:rsidRPr="00F5400D">
        <w:rPr>
          <w:spacing w:val="-2"/>
          <w:sz w:val="28"/>
          <w:szCs w:val="28"/>
        </w:rPr>
        <w:t xml:space="preserve">от </w:t>
      </w:r>
      <w:r w:rsidR="00CE141E">
        <w:rPr>
          <w:spacing w:val="-2"/>
          <w:sz w:val="28"/>
          <w:szCs w:val="28"/>
        </w:rPr>
        <w:t>0</w:t>
      </w:r>
      <w:r>
        <w:rPr>
          <w:spacing w:val="-2"/>
          <w:sz w:val="28"/>
          <w:szCs w:val="28"/>
        </w:rPr>
        <w:t>5</w:t>
      </w:r>
      <w:r w:rsidR="00CE141E" w:rsidRPr="00F5400D">
        <w:rPr>
          <w:spacing w:val="-2"/>
          <w:sz w:val="28"/>
          <w:szCs w:val="28"/>
        </w:rPr>
        <w:t>.11.202</w:t>
      </w:r>
      <w:r>
        <w:rPr>
          <w:spacing w:val="-2"/>
          <w:sz w:val="28"/>
          <w:szCs w:val="28"/>
        </w:rPr>
        <w:t>4</w:t>
      </w:r>
      <w:r w:rsidR="00CE141E" w:rsidRPr="00F5400D">
        <w:rPr>
          <w:spacing w:val="-2"/>
          <w:sz w:val="28"/>
          <w:szCs w:val="28"/>
        </w:rPr>
        <w:t xml:space="preserve">  № </w:t>
      </w:r>
      <w:r w:rsidR="00E613AA">
        <w:rPr>
          <w:spacing w:val="-2"/>
          <w:sz w:val="28"/>
          <w:szCs w:val="28"/>
        </w:rPr>
        <w:t>6</w:t>
      </w:r>
      <w:r w:rsidR="00E613AA">
        <w:rPr>
          <w:spacing w:val="-2"/>
          <w:sz w:val="28"/>
          <w:szCs w:val="28"/>
          <w:lang w:val="en-US"/>
        </w:rPr>
        <w:t>84</w:t>
      </w:r>
      <w:r w:rsidR="00E613AA">
        <w:rPr>
          <w:spacing w:val="-2"/>
          <w:sz w:val="28"/>
          <w:szCs w:val="28"/>
        </w:rPr>
        <w:t>-</w:t>
      </w:r>
      <w:bookmarkStart w:id="0" w:name="_GoBack"/>
      <w:bookmarkEnd w:id="0"/>
      <w:r w:rsidR="00CE141E" w:rsidRPr="00F5400D">
        <w:rPr>
          <w:spacing w:val="-2"/>
          <w:sz w:val="28"/>
          <w:szCs w:val="28"/>
        </w:rPr>
        <w:t>п</w:t>
      </w:r>
    </w:p>
    <w:p w:rsidR="00CE141E" w:rsidRPr="00B358AE" w:rsidRDefault="00CE141E" w:rsidP="00CE141E">
      <w:pPr>
        <w:jc w:val="both"/>
        <w:rPr>
          <w:sz w:val="28"/>
          <w:szCs w:val="28"/>
        </w:rPr>
      </w:pPr>
    </w:p>
    <w:p w:rsidR="00CE141E" w:rsidRPr="008B10A7" w:rsidRDefault="00CE141E" w:rsidP="00CE141E">
      <w:pPr>
        <w:jc w:val="both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  <w:r w:rsidRPr="008B10A7">
        <w:rPr>
          <w:sz w:val="28"/>
          <w:szCs w:val="28"/>
        </w:rPr>
        <w:t>Бюджетный (долгосрочного) прогноз</w:t>
      </w:r>
    </w:p>
    <w:p w:rsidR="00CE141E" w:rsidRDefault="00CE141E" w:rsidP="00CE141E">
      <w:pPr>
        <w:jc w:val="center"/>
        <w:rPr>
          <w:sz w:val="28"/>
          <w:szCs w:val="28"/>
        </w:rPr>
      </w:pPr>
      <w:r w:rsidRPr="008B10A7">
        <w:rPr>
          <w:sz w:val="28"/>
          <w:szCs w:val="28"/>
        </w:rPr>
        <w:t xml:space="preserve">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</w:p>
    <w:p w:rsidR="00CE141E" w:rsidRDefault="00CE141E" w:rsidP="00CE14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</w:t>
      </w:r>
      <w:r w:rsidRPr="008B10A7">
        <w:rPr>
          <w:sz w:val="28"/>
          <w:szCs w:val="28"/>
        </w:rPr>
        <w:t xml:space="preserve">Оренбургской области </w:t>
      </w:r>
    </w:p>
    <w:p w:rsidR="00CE141E" w:rsidRPr="008B10A7" w:rsidRDefault="00CE141E" w:rsidP="00CE141E">
      <w:pPr>
        <w:jc w:val="center"/>
        <w:rPr>
          <w:sz w:val="28"/>
          <w:szCs w:val="28"/>
        </w:rPr>
      </w:pPr>
      <w:r w:rsidRPr="008B10A7">
        <w:rPr>
          <w:sz w:val="28"/>
          <w:szCs w:val="28"/>
        </w:rPr>
        <w:t>на 202</w:t>
      </w:r>
      <w:r w:rsidR="00C94789">
        <w:rPr>
          <w:sz w:val="28"/>
          <w:szCs w:val="28"/>
        </w:rPr>
        <w:t>4</w:t>
      </w:r>
      <w:r w:rsidRPr="008B10A7">
        <w:rPr>
          <w:sz w:val="28"/>
          <w:szCs w:val="28"/>
        </w:rPr>
        <w:t xml:space="preserve">-2028 годы </w:t>
      </w: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Pr="008B10A7" w:rsidRDefault="00CE141E" w:rsidP="00CE141E">
      <w:pPr>
        <w:ind w:firstLine="709"/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Бюджетный прогноз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Саракташского района </w:t>
      </w:r>
      <w:r w:rsidRPr="008B10A7">
        <w:rPr>
          <w:sz w:val="28"/>
          <w:szCs w:val="28"/>
        </w:rPr>
        <w:t xml:space="preserve">Оренбургской области на долгосрочный период до 2028 года (далее - бюджетный прогноз) разработан на основе прогноза социально-экономического развития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>с учетом основных направлений бюджетной политики и основных направлений налоговой политики муниципального образования. Бюджетный прогноз разработан в условиях налогового и бюджетного законодательства, действующего на момент его составления.</w:t>
      </w:r>
    </w:p>
    <w:p w:rsidR="00CE141E" w:rsidRPr="008B10A7" w:rsidRDefault="00CE141E" w:rsidP="00CE141E">
      <w:pPr>
        <w:ind w:firstLine="709"/>
        <w:jc w:val="both"/>
        <w:rPr>
          <w:sz w:val="28"/>
          <w:szCs w:val="28"/>
        </w:rPr>
      </w:pPr>
      <w:r w:rsidRPr="008B10A7">
        <w:rPr>
          <w:sz w:val="28"/>
          <w:szCs w:val="28"/>
        </w:rPr>
        <w:t>Необходимость поддержания сбалансированности бюджетной системы будет являться важнейшим фактором проводимой в данном периоде долгосрочной политики, направленной на обеспечение необходимого уровня доходов бюджетной системы, соответствия объема действующих расходных обязательств реальным доходным источникам покрытия дефицита бюджета, а также взвешенного подхода при рассмотрении принятия новых бюджетных обязательств.</w:t>
      </w:r>
    </w:p>
    <w:p w:rsidR="00CE141E" w:rsidRPr="008B10A7" w:rsidRDefault="00CE141E" w:rsidP="00CE141E">
      <w:pPr>
        <w:ind w:firstLine="709"/>
        <w:jc w:val="both"/>
        <w:rPr>
          <w:sz w:val="28"/>
          <w:szCs w:val="28"/>
        </w:rPr>
      </w:pPr>
      <w:r w:rsidRPr="008B10A7">
        <w:rPr>
          <w:sz w:val="28"/>
          <w:szCs w:val="28"/>
        </w:rPr>
        <w:t>Основными целями долгосрочной бюджетной политики в период 202</w:t>
      </w:r>
      <w:r w:rsidR="00C94789">
        <w:rPr>
          <w:sz w:val="28"/>
          <w:szCs w:val="28"/>
        </w:rPr>
        <w:t>4</w:t>
      </w:r>
      <w:r w:rsidRPr="008B10A7">
        <w:rPr>
          <w:sz w:val="28"/>
          <w:szCs w:val="28"/>
        </w:rPr>
        <w:t xml:space="preserve"> - 2028 годов является обеспечение  предсказуемости  развития бюджета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>, что позволит оценивать долгосрочные тенденции  изменений объема  и структуры доходов и расходов бюджета сельского поселения, межбюджетного регулирования, а также выбрать на их основе соответствующие меры, направленные на повышение эффективности функционирования бюджета.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сельского поселения.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Задачами долгосрочного планирования также является: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      -  обеспечение публичности и прозрачности долгосрочного планирования;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      - выработка  системы мер корректировки  налогового и бюджетного планирования;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      - создание системы обеспечения сбалансированности бюджета в долгосрочном периоде.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lastRenderedPageBreak/>
        <w:t>В соответствии с указанным приоритетом планируется реализация следующих задач в области долгосрочной бюджетной политики муниципального образования: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− сохранение и увеличение налогового потенциала посредством совершенствования законодательства о налогах и сборах, улучшения инвестиционного климата, стимулирования роста предпринимательской инициативы;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−совершенствование системы взаимодействия исполнительных органов государственной власти Оренбургской области, территориальных органов федеральных органов исполнительной власти и органов местного самоуправления по повышению собираемости налогов и других обязательных платежей, и изысканию дополнительных резервов для увеличения доходного потенциала областного и местных бюджетов;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− продолжение политики обоснованности и эффективности предоставления налоговых льгот;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− взаимодействие с налогоплательщиками, осуществляющими деятельность на территории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 xml:space="preserve">, в целях обеспечения своевременного и полного выполнения ими налоговых обязательств по уплате налогов в бюджет; 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- поддержка малого и среднего предпринимательства;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- адаптация бюджетных расходов к более низкому уровню доходов, не допуская обострения социальных проблем;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- сдерживание роста бюджетного дефицита;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- эффективное использование бюджетных средств.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На долгосрочный период основными направлениями работы должны стать мероприятия, обеспечивающие бюджетную устойчивость и общую макроэкономическую стабильность.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Налоговая политика будет нацелена на динамичное поступление налогов и сборов и других обязательных платежей в бюджет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>, и строиться с учетом изменений законодательства Российской Федерации при одновременной активной работе органов местного самоуправления. Необходимо также учесть, что приоритетом Правительства Российской Федерации в области налоговой политики остается недопущение какого – либо увеличения налоговой нагрузки на экономику.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Исходя из необходимости дальнейшего повышения эффективности налогового стимулирования, предусматривается продолжить обязательное ежегодное проведение оценки эффективности предоставления налоговых льгот.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Долгосрочная бюджетная политика должна быть нацелена на улучшение условий жизни человека, адресное решение социальных проблем, стимулирование развития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>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Необходимо соблюдать баланс между сохранением бюджетной устойчивости, получением необходимого объема бюджетных расходов, с </w:t>
      </w:r>
      <w:r w:rsidRPr="008B10A7">
        <w:rPr>
          <w:sz w:val="28"/>
          <w:szCs w:val="28"/>
        </w:rPr>
        <w:lastRenderedPageBreak/>
        <w:t>одной стороны, и поддержкой предпринимательской и инвестиционной активности, с другой стороны.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Долгосрочная бюджетная политика требует оптимально переориентировать имеющиеся ограниченные бюджетные ресурсы путем их перераспределения на первоочередные расходы с целью сохранения социальной и финансовой стабильности в муниципальном образовании, создания условий для устойчивого социально-экономического развития поселения. 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Формирование долгосрочной бюджетной политики будет осуществляться в условиях непростой финансовой ситуации в соответствии со следующими базовыми подходами: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        1.Формирование бюджетных параметров исходя из необходимости безусловного исполнения действующих расходных обязательств, в том числе – с учетом их оптимизации и повышения эффективности использования финансовых ресурсов. Реализация данного подхода заключается в обязательном приоритете целей и задач, обязательств, установленных действующим законодательством Российской Федерации, при формировании проекта бюджета сельского поселения на очередной финансовый год и плановый период.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В этих условиях решение задачи оптимизации бюджетных расходов обеспечивается при условии не снижения качества и объемов предоставляемых услуг, в том числе с помощью реализации комплекса мер повышения эффективности управления муниципальными финансами.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2. Минимизация рисков несбалансированности бюджетов бюджетной системы Российской Федерации при бюджетном планировании. Для этого формирование бюджетного прогноза должно основываться на реалистичных оценках и прогнозах социально-экономического развития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>в долгосрочном периоде. При этом необходимо обеспечение достаточной гибкости предельных объемов и структуры бюджетных расходов, в том числе – наличие нераспределенных ресурсов на будущие периоды и критериев для их перераспределения в соответствии с уточнением приоритетных задач, либо сокращения (оптимизации) при неблагоприятной динамике бюджетных доходов.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3. Сравнительная оценка эффективности новых расходных обязательств с учетом сроков и механизмов их реализации. Ограниченность финансовых ресурсов  бюджета сельского поселения в обязательном порядке предполагает выбор приоритетных расходных обязательств, позволяющих достичь наилучшего результата, в том числе в долгосрочном периоде.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Бюджет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>на долгосрочный период прогнозирован сбалансированным. Бюджет разработан на основании исходных условий для формирования вариантов развития и основных показателей прогноза социально-экономического развития муниципального образования.</w:t>
      </w:r>
    </w:p>
    <w:p w:rsidR="00CE141E" w:rsidRPr="00F05048" w:rsidRDefault="00CE141E" w:rsidP="00CE141E">
      <w:pPr>
        <w:ind w:firstLine="851"/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В соответствии с прогнозом бюджета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Саракташского района </w:t>
      </w:r>
      <w:r w:rsidR="00C94789">
        <w:rPr>
          <w:sz w:val="28"/>
          <w:szCs w:val="28"/>
        </w:rPr>
        <w:t>Оренбургской области на 2024</w:t>
      </w:r>
      <w:r w:rsidRPr="008B10A7">
        <w:rPr>
          <w:sz w:val="28"/>
          <w:szCs w:val="28"/>
        </w:rPr>
        <w:t xml:space="preserve"> год налоговые и неналоговые доходы составят </w:t>
      </w:r>
      <w:r w:rsidR="00C94789">
        <w:rPr>
          <w:sz w:val="28"/>
          <w:szCs w:val="28"/>
        </w:rPr>
        <w:t>52 436,000</w:t>
      </w:r>
      <w:r w:rsidRPr="008B10A7">
        <w:rPr>
          <w:sz w:val="28"/>
          <w:szCs w:val="28"/>
        </w:rPr>
        <w:t xml:space="preserve"> тыс. рублей,  на 202</w:t>
      </w:r>
      <w:r w:rsidR="00C94789">
        <w:rPr>
          <w:sz w:val="28"/>
          <w:szCs w:val="28"/>
        </w:rPr>
        <w:t>5</w:t>
      </w:r>
      <w:r w:rsidRPr="008B10A7">
        <w:rPr>
          <w:sz w:val="28"/>
          <w:szCs w:val="28"/>
        </w:rPr>
        <w:t xml:space="preserve"> год – </w:t>
      </w:r>
      <w:r w:rsidR="00C94789">
        <w:rPr>
          <w:sz w:val="28"/>
          <w:szCs w:val="28"/>
        </w:rPr>
        <w:t>56 771</w:t>
      </w:r>
      <w:r>
        <w:rPr>
          <w:sz w:val="28"/>
          <w:szCs w:val="28"/>
        </w:rPr>
        <w:t>,000</w:t>
      </w:r>
      <w:r w:rsidRPr="008B10A7">
        <w:rPr>
          <w:sz w:val="28"/>
          <w:szCs w:val="28"/>
        </w:rPr>
        <w:t xml:space="preserve"> тыс. рублей, на 202</w:t>
      </w:r>
      <w:r w:rsidR="00C94789">
        <w:rPr>
          <w:sz w:val="28"/>
          <w:szCs w:val="28"/>
        </w:rPr>
        <w:t>6</w:t>
      </w:r>
      <w:r w:rsidRPr="008B10A7">
        <w:rPr>
          <w:sz w:val="28"/>
          <w:szCs w:val="28"/>
        </w:rPr>
        <w:t xml:space="preserve"> год – </w:t>
      </w:r>
      <w:r w:rsidR="00C94789">
        <w:rPr>
          <w:sz w:val="28"/>
          <w:szCs w:val="28"/>
        </w:rPr>
        <w:t>59 033</w:t>
      </w:r>
      <w:r>
        <w:rPr>
          <w:sz w:val="28"/>
          <w:szCs w:val="28"/>
        </w:rPr>
        <w:t>,000</w:t>
      </w:r>
      <w:r w:rsidRPr="008B10A7">
        <w:rPr>
          <w:sz w:val="28"/>
          <w:szCs w:val="28"/>
        </w:rPr>
        <w:t xml:space="preserve"> тыс. рублей. </w:t>
      </w:r>
      <w:r w:rsidRPr="008B10A7">
        <w:rPr>
          <w:sz w:val="28"/>
          <w:szCs w:val="28"/>
        </w:rPr>
        <w:lastRenderedPageBreak/>
        <w:t>Безвозмездные поступления в бюджете сельского поселения на 202</w:t>
      </w:r>
      <w:r w:rsidR="00C94789">
        <w:rPr>
          <w:sz w:val="28"/>
          <w:szCs w:val="28"/>
        </w:rPr>
        <w:t>4</w:t>
      </w:r>
      <w:r w:rsidRPr="008B10A7">
        <w:rPr>
          <w:sz w:val="28"/>
          <w:szCs w:val="28"/>
        </w:rPr>
        <w:t xml:space="preserve"> год запланированы в сумме </w:t>
      </w:r>
      <w:r w:rsidR="00C94789">
        <w:rPr>
          <w:sz w:val="28"/>
          <w:szCs w:val="28"/>
        </w:rPr>
        <w:t>95 222,295</w:t>
      </w:r>
      <w:r w:rsidRPr="007813DB">
        <w:rPr>
          <w:sz w:val="28"/>
          <w:szCs w:val="28"/>
        </w:rPr>
        <w:t xml:space="preserve"> </w:t>
      </w:r>
      <w:r w:rsidRPr="008B10A7">
        <w:rPr>
          <w:sz w:val="28"/>
          <w:szCs w:val="28"/>
        </w:rPr>
        <w:t>тыс. рублей, на 202</w:t>
      </w:r>
      <w:r w:rsidR="00C94789">
        <w:rPr>
          <w:sz w:val="28"/>
          <w:szCs w:val="28"/>
        </w:rPr>
        <w:t>5</w:t>
      </w:r>
      <w:r w:rsidRPr="008B10A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 </w:t>
      </w:r>
      <w:r w:rsidR="00C94789">
        <w:rPr>
          <w:sz w:val="28"/>
          <w:szCs w:val="28"/>
        </w:rPr>
        <w:t>53 754,00</w:t>
      </w:r>
      <w:r>
        <w:rPr>
          <w:sz w:val="28"/>
          <w:szCs w:val="28"/>
        </w:rPr>
        <w:t xml:space="preserve"> </w:t>
      </w:r>
      <w:r w:rsidRPr="008B10A7">
        <w:rPr>
          <w:sz w:val="28"/>
          <w:szCs w:val="28"/>
        </w:rPr>
        <w:t>тыс. рублей, на 202</w:t>
      </w:r>
      <w:r w:rsidR="00C94789">
        <w:rPr>
          <w:sz w:val="28"/>
          <w:szCs w:val="28"/>
        </w:rPr>
        <w:t>6</w:t>
      </w:r>
      <w:r w:rsidRPr="008B10A7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 </w:t>
      </w:r>
      <w:r w:rsidR="00C94789">
        <w:rPr>
          <w:sz w:val="28"/>
          <w:szCs w:val="28"/>
        </w:rPr>
        <w:t>50 277,00</w:t>
      </w:r>
      <w:r>
        <w:rPr>
          <w:sz w:val="28"/>
          <w:szCs w:val="28"/>
        </w:rPr>
        <w:t xml:space="preserve"> </w:t>
      </w:r>
      <w:r w:rsidRPr="008B10A7">
        <w:rPr>
          <w:sz w:val="28"/>
          <w:szCs w:val="28"/>
        </w:rPr>
        <w:t xml:space="preserve">тыс. рублей. Расходная часть бюджета   сформирована в программной структуре расходов, на основе </w:t>
      </w:r>
      <w:r>
        <w:rPr>
          <w:sz w:val="28"/>
          <w:szCs w:val="28"/>
        </w:rPr>
        <w:t xml:space="preserve"> муниципальной</w:t>
      </w:r>
      <w:r w:rsidRPr="008B10A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Pr="00830AC8">
        <w:rPr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30AC8">
        <w:rPr>
          <w:sz w:val="28"/>
          <w:szCs w:val="28"/>
        </w:rPr>
        <w:t>Саракташского района Оренбургской области</w:t>
      </w:r>
      <w:r>
        <w:rPr>
          <w:sz w:val="28"/>
          <w:szCs w:val="28"/>
        </w:rPr>
        <w:t>»</w:t>
      </w:r>
      <w:r w:rsidRPr="008B10A7">
        <w:rPr>
          <w:sz w:val="28"/>
          <w:szCs w:val="28"/>
        </w:rPr>
        <w:t>. Расходы на реализацию муниципальных программ составляют более 99,9% в 202</w:t>
      </w:r>
      <w:r w:rsidR="00C94789">
        <w:rPr>
          <w:sz w:val="28"/>
          <w:szCs w:val="28"/>
        </w:rPr>
        <w:t>4</w:t>
      </w:r>
      <w:r w:rsidRPr="008B10A7">
        <w:rPr>
          <w:sz w:val="28"/>
          <w:szCs w:val="28"/>
        </w:rPr>
        <w:t>-202</w:t>
      </w:r>
      <w:r w:rsidR="00C94789">
        <w:rPr>
          <w:sz w:val="28"/>
          <w:szCs w:val="28"/>
        </w:rPr>
        <w:t>6</w:t>
      </w:r>
      <w:r w:rsidRPr="008B10A7">
        <w:rPr>
          <w:sz w:val="28"/>
          <w:szCs w:val="28"/>
        </w:rPr>
        <w:t xml:space="preserve"> гг. от общего объема планируемых расходов  бюджета.</w:t>
      </w:r>
    </w:p>
    <w:p w:rsidR="00CE141E" w:rsidRPr="008B10A7" w:rsidRDefault="00CE141E" w:rsidP="00CE141E">
      <w:pPr>
        <w:ind w:firstLine="851"/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Прогноз основных  характеристик бюджета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>представлен в приложении № 1.</w:t>
      </w:r>
    </w:p>
    <w:p w:rsidR="00CE141E" w:rsidRPr="008B10A7" w:rsidRDefault="00CE141E" w:rsidP="00CE141E">
      <w:pPr>
        <w:ind w:firstLine="851"/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Особое внимание уделяется качественной разработке и реализации муниципальных программ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 xml:space="preserve">как основного инструмента повышения эффективности бюджетных расходов, созданию действенного механизма контроля за их выполнением. </w:t>
      </w:r>
    </w:p>
    <w:p w:rsidR="00CE141E" w:rsidRPr="008B10A7" w:rsidRDefault="00CE141E" w:rsidP="00CE141E">
      <w:pPr>
        <w:ind w:firstLine="851"/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Будет продолжена работа по совершенствованию механизма реализации муниципальных программ сельского поселения в части изменения структуры программ. Показатели финансового обеспечения муниципальных программ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>на период их действия представлены в приложении № 2.</w:t>
      </w:r>
    </w:p>
    <w:p w:rsidR="00CE141E" w:rsidRPr="008B10A7" w:rsidRDefault="00CE141E" w:rsidP="00CE141E">
      <w:pPr>
        <w:ind w:firstLine="851"/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Долгосрочная бюджетная политика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>на предстоящий период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сельского поселения.</w:t>
      </w:r>
    </w:p>
    <w:p w:rsidR="00CE141E" w:rsidRPr="008B10A7" w:rsidRDefault="00CE141E" w:rsidP="00CE141E">
      <w:pPr>
        <w:ind w:firstLine="851"/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В условиях экономической нестабильности наиболее негативными последствиями и рисками для бюджета 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 w:rsidRPr="008B10A7">
        <w:rPr>
          <w:sz w:val="28"/>
          <w:szCs w:val="28"/>
        </w:rPr>
        <w:t>являются: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1) превышение прогнозируемого уровня инфляции;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2) высокий уровень дефицита бюджета;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3) сокращение межбюджетных трансфертов из областного и федерального бюджетов;</w:t>
      </w:r>
    </w:p>
    <w:p w:rsidR="00CE141E" w:rsidRPr="008B10A7" w:rsidRDefault="00CE141E" w:rsidP="00CE141E">
      <w:pPr>
        <w:ind w:firstLine="709"/>
        <w:jc w:val="both"/>
        <w:rPr>
          <w:sz w:val="28"/>
          <w:szCs w:val="28"/>
        </w:rPr>
      </w:pPr>
      <w:r w:rsidRPr="008B10A7">
        <w:rPr>
          <w:sz w:val="28"/>
          <w:szCs w:val="28"/>
        </w:rPr>
        <w:t>Мероприятия по минимизации бюджетных рисков: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 xml:space="preserve">1) повышение доходного потенциала муниципального образования </w:t>
      </w:r>
      <w:r w:rsidR="00C94789">
        <w:rPr>
          <w:bCs/>
          <w:sz w:val="28"/>
          <w:szCs w:val="28"/>
        </w:rPr>
        <w:t>Саракташский поссовет;</w:t>
      </w:r>
      <w:r w:rsidR="00C94789" w:rsidRPr="008B10A7">
        <w:rPr>
          <w:bCs/>
          <w:sz w:val="28"/>
          <w:szCs w:val="28"/>
        </w:rPr>
        <w:t xml:space="preserve">  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2) максимальное наполнение доходной части местных бюджетов для осуществления социально значимых расходов;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3) проведение детальных проверок исполнения местного бюджета.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  <w:r w:rsidRPr="008B10A7">
        <w:rPr>
          <w:sz w:val="28"/>
          <w:szCs w:val="28"/>
        </w:rPr>
        <w:t>В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средств.</w:t>
      </w:r>
    </w:p>
    <w:p w:rsidR="00CE141E" w:rsidRPr="008B10A7" w:rsidRDefault="00CE141E" w:rsidP="00CE141E">
      <w:pPr>
        <w:jc w:val="both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  <w:sectPr w:rsidR="00CE141E" w:rsidRPr="008B10A7" w:rsidSect="00CE141E">
          <w:pgSz w:w="11906" w:h="16838"/>
          <w:pgMar w:top="709" w:right="850" w:bottom="1134" w:left="1843" w:header="709" w:footer="709" w:gutter="0"/>
          <w:cols w:space="709"/>
          <w:docGrid w:linePitch="272"/>
        </w:sectPr>
      </w:pPr>
    </w:p>
    <w:tbl>
      <w:tblPr>
        <w:tblW w:w="14425" w:type="dxa"/>
        <w:tblInd w:w="108" w:type="dxa"/>
        <w:tblLook w:val="00A0" w:firstRow="1" w:lastRow="0" w:firstColumn="1" w:lastColumn="0" w:noHBand="0" w:noVBand="0"/>
      </w:tblPr>
      <w:tblGrid>
        <w:gridCol w:w="10456"/>
        <w:gridCol w:w="3969"/>
      </w:tblGrid>
      <w:tr w:rsidR="00CE141E" w:rsidRPr="008B10A7">
        <w:trPr>
          <w:trHeight w:val="1833"/>
        </w:trPr>
        <w:tc>
          <w:tcPr>
            <w:tcW w:w="10456" w:type="dxa"/>
          </w:tcPr>
          <w:p w:rsidR="00CE141E" w:rsidRPr="008B10A7" w:rsidRDefault="00CE141E" w:rsidP="00CE141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E141E" w:rsidRPr="008B10A7" w:rsidRDefault="00CE141E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Приложение 1</w:t>
            </w:r>
          </w:p>
          <w:p w:rsidR="00CE141E" w:rsidRPr="008B10A7" w:rsidRDefault="00CE141E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 xml:space="preserve">к бюджетному (долгосрочному) прогнозу муниципального образования </w:t>
            </w:r>
            <w:r w:rsidR="00C94789">
              <w:rPr>
                <w:bCs/>
                <w:sz w:val="28"/>
                <w:szCs w:val="28"/>
              </w:rPr>
              <w:t>Саракташский поссовет</w:t>
            </w:r>
            <w:r w:rsidR="00C94789" w:rsidRPr="008B10A7"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Саракташского</w:t>
            </w:r>
            <w:r w:rsidRPr="008B10A7">
              <w:rPr>
                <w:sz w:val="28"/>
                <w:szCs w:val="28"/>
              </w:rPr>
              <w:t xml:space="preserve"> района Оренбургской области на 202</w:t>
            </w:r>
            <w:r w:rsidR="00C94789">
              <w:rPr>
                <w:sz w:val="28"/>
                <w:szCs w:val="28"/>
              </w:rPr>
              <w:t>4</w:t>
            </w:r>
            <w:r w:rsidRPr="008B10A7">
              <w:rPr>
                <w:sz w:val="28"/>
                <w:szCs w:val="28"/>
              </w:rPr>
              <w:t>-202</w:t>
            </w:r>
            <w:r w:rsidR="00C94789">
              <w:rPr>
                <w:sz w:val="28"/>
                <w:szCs w:val="28"/>
              </w:rPr>
              <w:t>8</w:t>
            </w:r>
            <w:r w:rsidRPr="008B10A7">
              <w:rPr>
                <w:sz w:val="28"/>
                <w:szCs w:val="28"/>
              </w:rPr>
              <w:t xml:space="preserve"> годы</w:t>
            </w:r>
          </w:p>
          <w:p w:rsidR="00CE141E" w:rsidRPr="008B10A7" w:rsidRDefault="00CE141E" w:rsidP="00CE141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CE141E" w:rsidRPr="008B10A7" w:rsidRDefault="00CE141E" w:rsidP="00CE141E">
      <w:pPr>
        <w:ind w:firstLine="709"/>
        <w:jc w:val="both"/>
        <w:rPr>
          <w:color w:val="FF0000"/>
          <w:sz w:val="28"/>
          <w:szCs w:val="28"/>
        </w:rPr>
      </w:pPr>
    </w:p>
    <w:p w:rsidR="00CE141E" w:rsidRPr="008B10A7" w:rsidRDefault="00CE141E" w:rsidP="00CE141E">
      <w:pPr>
        <w:ind w:firstLine="709"/>
        <w:jc w:val="center"/>
        <w:rPr>
          <w:sz w:val="28"/>
          <w:szCs w:val="28"/>
        </w:rPr>
      </w:pPr>
      <w:r w:rsidRPr="008B10A7">
        <w:rPr>
          <w:sz w:val="28"/>
          <w:szCs w:val="28"/>
        </w:rPr>
        <w:t xml:space="preserve">Динамика основных показателей бюджета </w:t>
      </w:r>
    </w:p>
    <w:p w:rsidR="00CE141E" w:rsidRPr="008B10A7" w:rsidRDefault="00CE141E" w:rsidP="00CE141E">
      <w:pPr>
        <w:ind w:firstLine="709"/>
        <w:jc w:val="center"/>
        <w:rPr>
          <w:sz w:val="28"/>
          <w:szCs w:val="28"/>
        </w:rPr>
      </w:pPr>
      <w:r w:rsidRPr="008B10A7">
        <w:rPr>
          <w:sz w:val="28"/>
          <w:szCs w:val="28"/>
        </w:rPr>
        <w:t xml:space="preserve">муниципального образования </w:t>
      </w:r>
      <w:r w:rsidR="00C94789">
        <w:rPr>
          <w:bCs/>
          <w:sz w:val="28"/>
          <w:szCs w:val="28"/>
        </w:rPr>
        <w:t>Саракташский поссовет</w:t>
      </w:r>
      <w:r w:rsidR="00C94789" w:rsidRPr="008B10A7"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Саракташского района</w:t>
      </w:r>
    </w:p>
    <w:p w:rsidR="00CE141E" w:rsidRPr="008B10A7" w:rsidRDefault="00CE141E" w:rsidP="00CE141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8B10A7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8B10A7">
        <w:rPr>
          <w:sz w:val="28"/>
          <w:szCs w:val="28"/>
        </w:rPr>
        <w:t>рублей</w:t>
      </w:r>
    </w:p>
    <w:tbl>
      <w:tblPr>
        <w:tblW w:w="12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5"/>
        <w:gridCol w:w="1546"/>
        <w:gridCol w:w="1632"/>
        <w:gridCol w:w="1546"/>
        <w:gridCol w:w="1546"/>
        <w:gridCol w:w="1546"/>
      </w:tblGrid>
      <w:tr w:rsidR="00C94789" w:rsidRPr="008B10A7" w:rsidTr="00C94789">
        <w:trPr>
          <w:gridAfter w:val="5"/>
          <w:wAfter w:w="7816" w:type="dxa"/>
          <w:trHeight w:val="322"/>
        </w:trPr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ind w:left="426" w:hanging="426"/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Наименование показателя</w:t>
            </w:r>
          </w:p>
        </w:tc>
      </w:tr>
      <w:tr w:rsidR="00C94789" w:rsidRPr="008B10A7" w:rsidTr="00C94789">
        <w:tc>
          <w:tcPr>
            <w:tcW w:w="4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94789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6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Доходы бюджета, всего</w:t>
            </w:r>
          </w:p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154104,378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107761,875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103844,500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109310,000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109310,000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ED4967" w:rsidRDefault="00C94789" w:rsidP="00CE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52436,000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56771,000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59033,000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59033,000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59033,000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tabs>
                <w:tab w:val="left" w:pos="1545"/>
                <w:tab w:val="center" w:pos="3490"/>
              </w:tabs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безвозмездные поступления</w:t>
            </w:r>
          </w:p>
          <w:p w:rsidR="00C94789" w:rsidRPr="008B10A7" w:rsidRDefault="00C94789" w:rsidP="00CE141E">
            <w:pPr>
              <w:tabs>
                <w:tab w:val="left" w:pos="1545"/>
                <w:tab w:val="center" w:pos="3490"/>
              </w:tabs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из них: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95222,295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53754,000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50277,000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50277,000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50277,000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дотации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44233,000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44277,000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44277,000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44277,000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субсидии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ind w:left="-675" w:firstLine="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43766,800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9521,000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Субвенции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5926,500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Расходы бюджета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158892,329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107761,875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103844,500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103844,500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103844,500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-4787,951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Дефицит (проценты)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lastRenderedPageBreak/>
              <w:t>Муниципальный долг муниципального образования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Отношение муниципального долга (без учета бюджетных кредитов) к налоговым и неналоговым доходам (проценты)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Отношение расходов на обслуживание муниципального долга к общим расходам местного бюджета (проценты)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</w:tr>
      <w:tr w:rsidR="00C94789" w:rsidRPr="008B10A7" w:rsidTr="00C94789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Отношение суммы платежей по погашению и обслуживанию муниципального долга к объему налоговых и неналоговых доходов местного бюджета и дотаций (проценты)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</w:tr>
    </w:tbl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tbl>
      <w:tblPr>
        <w:tblW w:w="14425" w:type="dxa"/>
        <w:tblInd w:w="108" w:type="dxa"/>
        <w:tblLook w:val="00A0" w:firstRow="1" w:lastRow="0" w:firstColumn="1" w:lastColumn="0" w:noHBand="0" w:noVBand="0"/>
      </w:tblPr>
      <w:tblGrid>
        <w:gridCol w:w="10456"/>
        <w:gridCol w:w="3969"/>
      </w:tblGrid>
      <w:tr w:rsidR="00CE141E" w:rsidRPr="008B10A7">
        <w:trPr>
          <w:trHeight w:val="1833"/>
        </w:trPr>
        <w:tc>
          <w:tcPr>
            <w:tcW w:w="10456" w:type="dxa"/>
          </w:tcPr>
          <w:p w:rsidR="00CE141E" w:rsidRPr="008B10A7" w:rsidRDefault="00CE141E" w:rsidP="00CE141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Приложение 2</w:t>
            </w:r>
          </w:p>
          <w:p w:rsidR="00CE141E" w:rsidRPr="008B10A7" w:rsidRDefault="00CE141E" w:rsidP="00CE14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бюджетному </w:t>
            </w:r>
            <w:r w:rsidRPr="008B10A7">
              <w:rPr>
                <w:sz w:val="28"/>
                <w:szCs w:val="28"/>
              </w:rPr>
              <w:t xml:space="preserve">(долгосрочному) прогнозу муниципального образования </w:t>
            </w:r>
            <w:r w:rsidR="00C94789">
              <w:rPr>
                <w:sz w:val="28"/>
                <w:szCs w:val="28"/>
              </w:rPr>
              <w:t>Саракташский поссовет</w:t>
            </w:r>
            <w:r>
              <w:rPr>
                <w:sz w:val="28"/>
                <w:szCs w:val="28"/>
              </w:rPr>
              <w:t xml:space="preserve"> Саракташского района </w:t>
            </w:r>
            <w:r w:rsidRPr="008B10A7">
              <w:rPr>
                <w:sz w:val="28"/>
                <w:szCs w:val="28"/>
              </w:rPr>
              <w:t>Оренбургской области на 202</w:t>
            </w:r>
            <w:r w:rsidR="00C94789">
              <w:rPr>
                <w:sz w:val="28"/>
                <w:szCs w:val="28"/>
              </w:rPr>
              <w:t>4</w:t>
            </w:r>
            <w:r w:rsidRPr="008B10A7">
              <w:rPr>
                <w:sz w:val="28"/>
                <w:szCs w:val="28"/>
              </w:rPr>
              <w:t>-2028 годы</w:t>
            </w:r>
          </w:p>
          <w:p w:rsidR="00CE141E" w:rsidRPr="008B10A7" w:rsidRDefault="00CE141E" w:rsidP="00CE141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CE141E" w:rsidRPr="008B10A7" w:rsidRDefault="00CE141E" w:rsidP="00CE141E">
      <w:pPr>
        <w:ind w:firstLine="709"/>
        <w:jc w:val="center"/>
        <w:rPr>
          <w:sz w:val="28"/>
          <w:szCs w:val="28"/>
        </w:rPr>
      </w:pPr>
      <w:r w:rsidRPr="008B10A7">
        <w:rPr>
          <w:sz w:val="28"/>
          <w:szCs w:val="28"/>
        </w:rPr>
        <w:t>Основные налоговые доходы</w:t>
      </w:r>
    </w:p>
    <w:p w:rsidR="00CE141E" w:rsidRPr="008B10A7" w:rsidRDefault="00CE141E" w:rsidP="00CE141E">
      <w:pPr>
        <w:ind w:firstLine="709"/>
        <w:jc w:val="center"/>
        <w:rPr>
          <w:sz w:val="28"/>
          <w:szCs w:val="28"/>
        </w:rPr>
      </w:pPr>
      <w:r w:rsidRPr="008B10A7">
        <w:rPr>
          <w:sz w:val="28"/>
          <w:szCs w:val="28"/>
        </w:rPr>
        <w:t xml:space="preserve"> муниципального образования </w:t>
      </w:r>
      <w:r w:rsidR="00C94789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Саракташского района</w:t>
      </w:r>
    </w:p>
    <w:p w:rsidR="00CE141E" w:rsidRPr="008B10A7" w:rsidRDefault="00CE141E" w:rsidP="00CE141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C94789">
        <w:rPr>
          <w:sz w:val="28"/>
          <w:szCs w:val="28"/>
        </w:rPr>
        <w:t>4</w:t>
      </w:r>
      <w:r>
        <w:rPr>
          <w:sz w:val="28"/>
          <w:szCs w:val="28"/>
        </w:rPr>
        <w:t>-2028годы</w:t>
      </w:r>
    </w:p>
    <w:p w:rsidR="00CE141E" w:rsidRPr="008B10A7" w:rsidRDefault="00CE141E" w:rsidP="00CE141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тыс. рублей</w:t>
      </w:r>
    </w:p>
    <w:tbl>
      <w:tblPr>
        <w:tblW w:w="13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559"/>
        <w:gridCol w:w="1560"/>
        <w:gridCol w:w="1417"/>
        <w:gridCol w:w="1276"/>
        <w:gridCol w:w="1417"/>
      </w:tblGrid>
      <w:tr w:rsidR="00C94789" w:rsidRPr="008B10A7" w:rsidTr="00C94789">
        <w:trPr>
          <w:gridAfter w:val="5"/>
          <w:wAfter w:w="7229" w:type="dxa"/>
          <w:trHeight w:val="322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Наименование показателя</w:t>
            </w:r>
          </w:p>
        </w:tc>
      </w:tr>
      <w:tr w:rsidR="00C94789" w:rsidRPr="008B10A7" w:rsidTr="00C94789"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94789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C94789" w:rsidRPr="008B10A7" w:rsidTr="00C947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6</w:t>
            </w:r>
          </w:p>
        </w:tc>
      </w:tr>
      <w:tr w:rsidR="00C94789" w:rsidRPr="008B10A7" w:rsidTr="00C947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Налоговые доходы – всего</w:t>
            </w:r>
          </w:p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ED4967" w:rsidRDefault="00C94789" w:rsidP="00CE1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52396,000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56731,000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58993,000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58993,000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58993,000</w:t>
            </w:r>
          </w:p>
        </w:tc>
      </w:tr>
      <w:tr w:rsidR="00C94789" w:rsidRPr="008B10A7" w:rsidTr="00C947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 xml:space="preserve">налог на доходы физических лиц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26891,000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29605,000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30845,000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30845,000</w:t>
            </w:r>
          </w:p>
        </w:tc>
      </w:tr>
      <w:tr w:rsidR="00C94789" w:rsidRPr="008B10A7" w:rsidTr="00C947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tabs>
                <w:tab w:val="left" w:pos="1545"/>
                <w:tab w:val="center" w:pos="3490"/>
              </w:tabs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4532,000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5005,000</w:t>
            </w:r>
          </w:p>
        </w:tc>
      </w:tr>
      <w:tr w:rsidR="00C94789" w:rsidRPr="008B10A7" w:rsidTr="00C947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9424,000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10361,000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10445,000</w:t>
            </w:r>
          </w:p>
        </w:tc>
      </w:tr>
      <w:tr w:rsidR="00C94789" w:rsidRPr="008B10A7" w:rsidTr="00C947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</w:tr>
      <w:tr w:rsidR="00C94789" w:rsidRPr="008B10A7" w:rsidTr="00C947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Акцизы на нефтепродукты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11975,000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12695,000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12695,000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12695,000</w:t>
            </w:r>
          </w:p>
        </w:tc>
      </w:tr>
      <w:tr w:rsidR="00C94789" w:rsidRPr="008B10A7" w:rsidTr="00C9478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8B10A7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8B10A7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8B10A7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8B10A7">
              <w:rPr>
                <w:sz w:val="28"/>
                <w:szCs w:val="28"/>
              </w:rPr>
              <w:t>,0</w:t>
            </w:r>
          </w:p>
        </w:tc>
      </w:tr>
    </w:tbl>
    <w:p w:rsidR="00CE141E" w:rsidRPr="008B10A7" w:rsidRDefault="00CE141E" w:rsidP="00CE141E">
      <w:pPr>
        <w:ind w:left="567" w:hanging="567"/>
        <w:jc w:val="center"/>
        <w:rPr>
          <w:sz w:val="28"/>
          <w:szCs w:val="28"/>
        </w:rPr>
      </w:pPr>
    </w:p>
    <w:p w:rsidR="00CE141E" w:rsidRPr="008B10A7" w:rsidRDefault="00CE141E" w:rsidP="00CE141E">
      <w:pPr>
        <w:ind w:left="567" w:hanging="567"/>
        <w:jc w:val="center"/>
        <w:rPr>
          <w:sz w:val="28"/>
          <w:szCs w:val="28"/>
        </w:rPr>
      </w:pPr>
    </w:p>
    <w:p w:rsidR="00CE141E" w:rsidRPr="008B10A7" w:rsidRDefault="00CE141E" w:rsidP="00CE141E">
      <w:pPr>
        <w:ind w:left="567" w:hanging="567"/>
        <w:jc w:val="center"/>
        <w:rPr>
          <w:sz w:val="28"/>
          <w:szCs w:val="28"/>
        </w:rPr>
      </w:pPr>
    </w:p>
    <w:tbl>
      <w:tblPr>
        <w:tblW w:w="14425" w:type="dxa"/>
        <w:tblInd w:w="108" w:type="dxa"/>
        <w:tblLook w:val="00A0" w:firstRow="1" w:lastRow="0" w:firstColumn="1" w:lastColumn="0" w:noHBand="0" w:noVBand="0"/>
      </w:tblPr>
      <w:tblGrid>
        <w:gridCol w:w="10456"/>
        <w:gridCol w:w="3969"/>
      </w:tblGrid>
      <w:tr w:rsidR="00CE141E" w:rsidRPr="008B10A7">
        <w:trPr>
          <w:trHeight w:val="1833"/>
        </w:trPr>
        <w:tc>
          <w:tcPr>
            <w:tcW w:w="10456" w:type="dxa"/>
          </w:tcPr>
          <w:p w:rsidR="00CE141E" w:rsidRPr="008B10A7" w:rsidRDefault="00CE141E" w:rsidP="00CE141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E141E" w:rsidRPr="008B10A7" w:rsidRDefault="00CE141E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Приложение 3</w:t>
            </w:r>
          </w:p>
          <w:p w:rsidR="00CE141E" w:rsidRPr="008B10A7" w:rsidRDefault="00CE141E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 xml:space="preserve">к бюджетному (долгосрочному) прогнозу муниципального образования </w:t>
            </w:r>
            <w:r w:rsidR="00C94789">
              <w:rPr>
                <w:sz w:val="28"/>
                <w:szCs w:val="28"/>
              </w:rPr>
              <w:t>Саракташский поссовет</w:t>
            </w:r>
            <w:r>
              <w:rPr>
                <w:sz w:val="28"/>
                <w:szCs w:val="28"/>
              </w:rPr>
              <w:t xml:space="preserve"> Саракташского района </w:t>
            </w:r>
            <w:r w:rsidRPr="008B10A7">
              <w:rPr>
                <w:sz w:val="28"/>
                <w:szCs w:val="28"/>
              </w:rPr>
              <w:t>Оренбургской области на 202</w:t>
            </w:r>
            <w:r w:rsidR="00C94789">
              <w:rPr>
                <w:sz w:val="28"/>
                <w:szCs w:val="28"/>
              </w:rPr>
              <w:t>4</w:t>
            </w:r>
            <w:r w:rsidRPr="008B10A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8B10A7">
              <w:rPr>
                <w:sz w:val="28"/>
                <w:szCs w:val="28"/>
              </w:rPr>
              <w:t xml:space="preserve"> годы</w:t>
            </w:r>
          </w:p>
          <w:p w:rsidR="00CE141E" w:rsidRPr="008B10A7" w:rsidRDefault="00CE141E" w:rsidP="00CE141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CE141E" w:rsidRPr="008B10A7" w:rsidRDefault="00CE141E" w:rsidP="00CE141E">
      <w:pPr>
        <w:ind w:firstLine="709"/>
        <w:jc w:val="center"/>
        <w:rPr>
          <w:sz w:val="28"/>
          <w:szCs w:val="28"/>
        </w:rPr>
      </w:pPr>
      <w:r w:rsidRPr="008B10A7">
        <w:rPr>
          <w:sz w:val="28"/>
          <w:szCs w:val="28"/>
        </w:rPr>
        <w:t xml:space="preserve">Расходы </w:t>
      </w:r>
    </w:p>
    <w:p w:rsidR="00CE141E" w:rsidRPr="008B10A7" w:rsidRDefault="00CE141E" w:rsidP="00CE141E">
      <w:pPr>
        <w:ind w:firstLine="709"/>
        <w:jc w:val="center"/>
        <w:rPr>
          <w:sz w:val="28"/>
          <w:szCs w:val="28"/>
        </w:rPr>
      </w:pPr>
      <w:r w:rsidRPr="008B10A7">
        <w:rPr>
          <w:sz w:val="28"/>
          <w:szCs w:val="28"/>
        </w:rPr>
        <w:t xml:space="preserve">муниципального образования </w:t>
      </w:r>
      <w:r w:rsidR="00C94789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Саракташского района</w:t>
      </w:r>
    </w:p>
    <w:p w:rsidR="00CE141E" w:rsidRPr="008B10A7" w:rsidRDefault="00CE141E" w:rsidP="00CE141E">
      <w:pPr>
        <w:ind w:left="567" w:hanging="567"/>
        <w:jc w:val="center"/>
        <w:rPr>
          <w:sz w:val="28"/>
          <w:szCs w:val="28"/>
        </w:rPr>
      </w:pPr>
      <w:r w:rsidRPr="008B10A7">
        <w:rPr>
          <w:sz w:val="28"/>
          <w:szCs w:val="28"/>
        </w:rPr>
        <w:t>на 202</w:t>
      </w:r>
      <w:r w:rsidR="00C94789">
        <w:rPr>
          <w:sz w:val="28"/>
          <w:szCs w:val="28"/>
        </w:rPr>
        <w:t>4</w:t>
      </w:r>
      <w:r w:rsidRPr="008B10A7">
        <w:rPr>
          <w:sz w:val="28"/>
          <w:szCs w:val="28"/>
        </w:rPr>
        <w:t>-2028годы</w:t>
      </w:r>
    </w:p>
    <w:p w:rsidR="00CE141E" w:rsidRPr="008B10A7" w:rsidRDefault="00CE141E" w:rsidP="00CE141E">
      <w:pPr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тыс. рублей</w:t>
      </w:r>
    </w:p>
    <w:tbl>
      <w:tblPr>
        <w:tblW w:w="13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843"/>
        <w:gridCol w:w="1843"/>
        <w:gridCol w:w="1559"/>
        <w:gridCol w:w="1417"/>
        <w:gridCol w:w="1560"/>
      </w:tblGrid>
      <w:tr w:rsidR="00C94789" w:rsidRPr="008B10A7" w:rsidTr="00C94789">
        <w:trPr>
          <w:gridAfter w:val="5"/>
          <w:wAfter w:w="8222" w:type="dxa"/>
          <w:trHeight w:val="322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Наименование показателя</w:t>
            </w:r>
          </w:p>
        </w:tc>
      </w:tr>
      <w:tr w:rsidR="00C94789" w:rsidRPr="008B10A7" w:rsidTr="00C94789"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C94789" w:rsidRPr="008B10A7" w:rsidTr="00C947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6</w:t>
            </w:r>
          </w:p>
        </w:tc>
      </w:tr>
      <w:tr w:rsidR="00C94789" w:rsidRPr="008B10A7" w:rsidTr="00C947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 xml:space="preserve">Расходы – всего. </w:t>
            </w:r>
          </w:p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158892,329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107761,875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103844,500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103844,500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103844,500</w:t>
            </w:r>
          </w:p>
        </w:tc>
      </w:tr>
      <w:tr w:rsidR="00C94789" w:rsidRPr="008B10A7" w:rsidTr="00C947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14892,329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6189,134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14529,000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14529,000</w:t>
            </w:r>
          </w:p>
        </w:tc>
      </w:tr>
      <w:tr w:rsidR="00C94789" w:rsidRPr="008B10A7" w:rsidTr="00C947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tabs>
                <w:tab w:val="left" w:pos="1545"/>
                <w:tab w:val="center" w:pos="3490"/>
              </w:tabs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 xml:space="preserve">национальная </w:t>
            </w:r>
            <w:r>
              <w:rPr>
                <w:sz w:val="28"/>
                <w:szCs w:val="28"/>
              </w:rPr>
              <w:t>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94789" w:rsidRPr="008B10A7" w:rsidTr="00C947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2444,475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2872,500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2872,500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2872,500</w:t>
            </w:r>
          </w:p>
        </w:tc>
      </w:tr>
      <w:tr w:rsidR="00C94789" w:rsidRPr="008B10A7" w:rsidTr="00C947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52636,951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33000,000</w:t>
            </w:r>
          </w:p>
        </w:tc>
      </w:tr>
      <w:tr w:rsidR="00C94789" w:rsidRPr="008B10A7" w:rsidTr="00C947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47159,753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18493,775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12176,400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12176,400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12176,400</w:t>
            </w:r>
          </w:p>
        </w:tc>
      </w:tr>
      <w:tr w:rsidR="00C94789" w:rsidRPr="008B10A7" w:rsidTr="00C947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40197,207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38766,600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38766,600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38766,600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38766,600</w:t>
            </w:r>
          </w:p>
        </w:tc>
      </w:tr>
      <w:tr w:rsidR="00C94789" w:rsidRPr="008B10A7" w:rsidTr="00C947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94789" w:rsidRPr="008B10A7" w:rsidTr="00C947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C94789" w:rsidRPr="008B10A7" w:rsidTr="00C947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2763,125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5465,500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5465,500</w:t>
            </w:r>
          </w:p>
        </w:tc>
      </w:tr>
    </w:tbl>
    <w:p w:rsidR="00CE141E" w:rsidRPr="008B10A7" w:rsidRDefault="00CE141E" w:rsidP="00CE141E">
      <w:pPr>
        <w:rPr>
          <w:sz w:val="28"/>
          <w:szCs w:val="28"/>
        </w:rPr>
      </w:pPr>
    </w:p>
    <w:tbl>
      <w:tblPr>
        <w:tblW w:w="14709" w:type="dxa"/>
        <w:tblInd w:w="108" w:type="dxa"/>
        <w:tblLook w:val="00A0" w:firstRow="1" w:lastRow="0" w:firstColumn="1" w:lastColumn="0" w:noHBand="0" w:noVBand="0"/>
      </w:tblPr>
      <w:tblGrid>
        <w:gridCol w:w="10456"/>
        <w:gridCol w:w="4253"/>
      </w:tblGrid>
      <w:tr w:rsidR="00CE141E" w:rsidRPr="008B10A7">
        <w:trPr>
          <w:trHeight w:val="1833"/>
        </w:trPr>
        <w:tc>
          <w:tcPr>
            <w:tcW w:w="10456" w:type="dxa"/>
          </w:tcPr>
          <w:p w:rsidR="00CE141E" w:rsidRDefault="00CE141E" w:rsidP="00CE141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E141E" w:rsidRPr="008B10A7" w:rsidRDefault="00CE141E" w:rsidP="00CE141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Default="00CE141E" w:rsidP="00CE141E">
            <w:pPr>
              <w:jc w:val="both"/>
              <w:rPr>
                <w:sz w:val="28"/>
                <w:szCs w:val="28"/>
              </w:rPr>
            </w:pPr>
          </w:p>
          <w:p w:rsidR="00CE141E" w:rsidRPr="008B10A7" w:rsidRDefault="00CE141E" w:rsidP="00CE14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</w:p>
          <w:p w:rsidR="00CE141E" w:rsidRPr="008B10A7" w:rsidRDefault="00CE141E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 xml:space="preserve">к бюджетному (долгосрочному) прогнозу муниципального образования </w:t>
            </w:r>
            <w:r w:rsidR="00C94789">
              <w:rPr>
                <w:sz w:val="28"/>
                <w:szCs w:val="28"/>
              </w:rPr>
              <w:t>Саракташский поссовет</w:t>
            </w:r>
            <w:r>
              <w:rPr>
                <w:sz w:val="28"/>
                <w:szCs w:val="28"/>
              </w:rPr>
              <w:t xml:space="preserve"> Саракташского района </w:t>
            </w:r>
            <w:r w:rsidRPr="008B10A7">
              <w:rPr>
                <w:sz w:val="28"/>
                <w:szCs w:val="28"/>
              </w:rPr>
              <w:t>Оренбургской области на 202</w:t>
            </w:r>
            <w:r w:rsidR="00C94789">
              <w:rPr>
                <w:sz w:val="28"/>
                <w:szCs w:val="28"/>
              </w:rPr>
              <w:t>4</w:t>
            </w:r>
            <w:r w:rsidRPr="008B10A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8B10A7">
              <w:rPr>
                <w:sz w:val="28"/>
                <w:szCs w:val="28"/>
              </w:rPr>
              <w:t xml:space="preserve"> годы</w:t>
            </w:r>
          </w:p>
          <w:p w:rsidR="00CE141E" w:rsidRPr="008B10A7" w:rsidRDefault="00CE141E" w:rsidP="00CE141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CE141E" w:rsidRDefault="00CE141E" w:rsidP="00CE141E">
      <w:pPr>
        <w:ind w:firstLine="709"/>
        <w:jc w:val="center"/>
        <w:rPr>
          <w:sz w:val="28"/>
          <w:szCs w:val="28"/>
        </w:rPr>
      </w:pPr>
      <w:r w:rsidRPr="008B10A7">
        <w:rPr>
          <w:sz w:val="28"/>
          <w:szCs w:val="28"/>
        </w:rPr>
        <w:lastRenderedPageBreak/>
        <w:t xml:space="preserve">Предельные расходы местного бюджета на финансовое обеспечение реализации муниципальных программ муниципального образования </w:t>
      </w:r>
      <w:r w:rsidR="00C94789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Саракташского района </w:t>
      </w:r>
      <w:r w:rsidRPr="008B10A7">
        <w:rPr>
          <w:sz w:val="28"/>
          <w:szCs w:val="28"/>
        </w:rPr>
        <w:t xml:space="preserve">и на осуществление </w:t>
      </w:r>
    </w:p>
    <w:p w:rsidR="00CE141E" w:rsidRPr="008B10A7" w:rsidRDefault="00CE141E" w:rsidP="00CE141E">
      <w:pPr>
        <w:ind w:firstLine="709"/>
        <w:jc w:val="center"/>
        <w:rPr>
          <w:sz w:val="28"/>
          <w:szCs w:val="28"/>
        </w:rPr>
      </w:pPr>
      <w:r w:rsidRPr="008B10A7">
        <w:rPr>
          <w:sz w:val="28"/>
          <w:szCs w:val="28"/>
        </w:rPr>
        <w:t xml:space="preserve">непрограммных направлений деятельности </w:t>
      </w:r>
    </w:p>
    <w:p w:rsidR="00CE141E" w:rsidRPr="008B10A7" w:rsidRDefault="00CE141E" w:rsidP="00CE141E">
      <w:pPr>
        <w:ind w:firstLine="709"/>
        <w:jc w:val="center"/>
        <w:rPr>
          <w:sz w:val="28"/>
          <w:szCs w:val="28"/>
        </w:rPr>
      </w:pPr>
    </w:p>
    <w:tbl>
      <w:tblPr>
        <w:tblW w:w="13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1559"/>
        <w:gridCol w:w="1701"/>
        <w:gridCol w:w="1418"/>
        <w:gridCol w:w="1417"/>
        <w:gridCol w:w="1418"/>
      </w:tblGrid>
      <w:tr w:rsidR="00C94789" w:rsidRPr="008B10A7" w:rsidTr="00C94789">
        <w:trPr>
          <w:gridAfter w:val="5"/>
          <w:wAfter w:w="7513" w:type="dxa"/>
          <w:trHeight w:val="322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Наименование показателя</w:t>
            </w:r>
          </w:p>
        </w:tc>
      </w:tr>
      <w:tr w:rsidR="00C94789" w:rsidRPr="008B10A7" w:rsidTr="00C94789"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94789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C94789" w:rsidRPr="008B10A7" w:rsidTr="00C9478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6</w:t>
            </w:r>
          </w:p>
        </w:tc>
      </w:tr>
      <w:tr w:rsidR="00C94789" w:rsidRPr="008B10A7" w:rsidTr="00C9478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 xml:space="preserve">Расходы – всего, </w:t>
            </w:r>
          </w:p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158892,329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107761,875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103844,500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103844,500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103844,500</w:t>
            </w:r>
          </w:p>
        </w:tc>
      </w:tr>
      <w:tr w:rsidR="00C94789" w:rsidRPr="008B10A7" w:rsidTr="00C9478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bCs/>
                <w:sz w:val="28"/>
                <w:szCs w:val="28"/>
              </w:rPr>
              <w:t xml:space="preserve">Муниципальная программа </w:t>
            </w:r>
            <w:r w:rsidRPr="00830AC8">
              <w:rPr>
                <w:sz w:val="28"/>
                <w:szCs w:val="28"/>
              </w:rPr>
              <w:t xml:space="preserve">«Реализация муниципальной политики на территории муниципального образования </w:t>
            </w:r>
            <w:r>
              <w:rPr>
                <w:sz w:val="28"/>
                <w:szCs w:val="28"/>
              </w:rPr>
              <w:t>Новочеркасский</w:t>
            </w:r>
            <w:r w:rsidRPr="00830AC8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157925,057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993DCE" w:rsidRDefault="00C94789" w:rsidP="00CE141E">
            <w:pPr>
              <w:jc w:val="center"/>
              <w:rPr>
                <w:bCs/>
                <w:color w:val="22272F"/>
                <w:sz w:val="28"/>
                <w:szCs w:val="28"/>
              </w:rPr>
            </w:pPr>
            <w:r>
              <w:rPr>
                <w:bCs/>
                <w:color w:val="22272F"/>
                <w:sz w:val="28"/>
                <w:szCs w:val="28"/>
              </w:rPr>
              <w:t>106781,875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993DCE" w:rsidRDefault="00C94789" w:rsidP="00CE141E">
            <w:pPr>
              <w:jc w:val="center"/>
              <w:rPr>
                <w:bCs/>
                <w:color w:val="22272F"/>
                <w:sz w:val="28"/>
                <w:szCs w:val="28"/>
              </w:rPr>
            </w:pPr>
            <w:r>
              <w:rPr>
                <w:bCs/>
                <w:color w:val="22272F"/>
                <w:sz w:val="28"/>
                <w:szCs w:val="28"/>
              </w:rPr>
              <w:t>1022864,500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993DCE" w:rsidRDefault="00C94789" w:rsidP="00B30BAD">
            <w:pPr>
              <w:jc w:val="center"/>
              <w:rPr>
                <w:bCs/>
                <w:color w:val="22272F"/>
                <w:sz w:val="28"/>
                <w:szCs w:val="28"/>
              </w:rPr>
            </w:pPr>
            <w:r>
              <w:rPr>
                <w:bCs/>
                <w:color w:val="22272F"/>
                <w:sz w:val="28"/>
                <w:szCs w:val="28"/>
              </w:rPr>
              <w:t>1022864,500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993DCE" w:rsidRDefault="00C94789" w:rsidP="00B30BAD">
            <w:pPr>
              <w:jc w:val="center"/>
              <w:rPr>
                <w:bCs/>
                <w:color w:val="22272F"/>
                <w:sz w:val="28"/>
                <w:szCs w:val="28"/>
              </w:rPr>
            </w:pPr>
            <w:r>
              <w:rPr>
                <w:bCs/>
                <w:color w:val="22272F"/>
                <w:sz w:val="28"/>
                <w:szCs w:val="28"/>
              </w:rPr>
              <w:t>1022864,500</w:t>
            </w:r>
          </w:p>
        </w:tc>
      </w:tr>
      <w:tr w:rsidR="00C94789" w:rsidRPr="008B10A7" w:rsidTr="00C9478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both"/>
              <w:rPr>
                <w:sz w:val="28"/>
                <w:szCs w:val="28"/>
              </w:rPr>
            </w:pPr>
            <w:r w:rsidRPr="008B10A7">
              <w:rPr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967,272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CE1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89" w:rsidRPr="008B10A7" w:rsidRDefault="00C94789" w:rsidP="00B30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980,000</w:t>
            </w:r>
          </w:p>
        </w:tc>
      </w:tr>
    </w:tbl>
    <w:p w:rsidR="00CE141E" w:rsidRPr="008B10A7" w:rsidRDefault="00CE141E" w:rsidP="00CE141E">
      <w:pPr>
        <w:ind w:left="567" w:hanging="567"/>
        <w:jc w:val="center"/>
        <w:rPr>
          <w:sz w:val="28"/>
          <w:szCs w:val="28"/>
        </w:rPr>
      </w:pPr>
    </w:p>
    <w:p w:rsidR="00CE141E" w:rsidRPr="008B10A7" w:rsidRDefault="00CE141E" w:rsidP="00CE141E">
      <w:pPr>
        <w:jc w:val="center"/>
        <w:rPr>
          <w:sz w:val="28"/>
          <w:szCs w:val="28"/>
        </w:rPr>
      </w:pPr>
    </w:p>
    <w:p w:rsidR="00CE141E" w:rsidRDefault="00CE141E" w:rsidP="00CE141E">
      <w:pPr>
        <w:keepNext/>
        <w:suppressAutoHyphens/>
        <w:overflowPunct w:val="0"/>
        <w:jc w:val="center"/>
        <w:textAlignment w:val="baseline"/>
        <w:outlineLvl w:val="1"/>
        <w:rPr>
          <w:b/>
          <w:bCs/>
          <w:sz w:val="28"/>
          <w:szCs w:val="28"/>
          <w:lang w:eastAsia="ar-SA"/>
        </w:rPr>
      </w:pPr>
    </w:p>
    <w:p w:rsidR="00CE141E" w:rsidRPr="00AF03FC" w:rsidRDefault="00CE141E" w:rsidP="00CE141E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CE141E" w:rsidRDefault="00CE141E" w:rsidP="00CE141E"/>
    <w:p w:rsidR="00936A6E" w:rsidRDefault="00936A6E"/>
    <w:sectPr w:rsidR="00936A6E" w:rsidSect="00CE14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A17" w:rsidRDefault="00FA6A17">
      <w:r>
        <w:separator/>
      </w:r>
    </w:p>
  </w:endnote>
  <w:endnote w:type="continuationSeparator" w:id="0">
    <w:p w:rsidR="00FA6A17" w:rsidRDefault="00F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A17" w:rsidRDefault="00FA6A17">
      <w:r>
        <w:separator/>
      </w:r>
    </w:p>
  </w:footnote>
  <w:footnote w:type="continuationSeparator" w:id="0">
    <w:p w:rsidR="00FA6A17" w:rsidRDefault="00FA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1E"/>
    <w:rsid w:val="000545AD"/>
    <w:rsid w:val="000A0918"/>
    <w:rsid w:val="000C22B0"/>
    <w:rsid w:val="00195F07"/>
    <w:rsid w:val="001E0A26"/>
    <w:rsid w:val="001E5AAF"/>
    <w:rsid w:val="002E49E3"/>
    <w:rsid w:val="002F7EFF"/>
    <w:rsid w:val="003A017B"/>
    <w:rsid w:val="003B56D0"/>
    <w:rsid w:val="005969EE"/>
    <w:rsid w:val="005D7B7F"/>
    <w:rsid w:val="006E0253"/>
    <w:rsid w:val="00733D77"/>
    <w:rsid w:val="00765103"/>
    <w:rsid w:val="00936A6E"/>
    <w:rsid w:val="009C1B6A"/>
    <w:rsid w:val="00B61D75"/>
    <w:rsid w:val="00BB2AD2"/>
    <w:rsid w:val="00C43B8F"/>
    <w:rsid w:val="00C51C01"/>
    <w:rsid w:val="00C94789"/>
    <w:rsid w:val="00CE141E"/>
    <w:rsid w:val="00E613AA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60331C-2F6E-4F81-99F0-FDC6D376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1E"/>
    <w:rPr>
      <w:rFonts w:eastAsia="Calibr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78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CE141E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0"/>
    </w:rPr>
  </w:style>
  <w:style w:type="paragraph" w:customStyle="1" w:styleId="ConsPlusNormal">
    <w:name w:val="ConsPlusNormal"/>
    <w:link w:val="ConsPlusNormal0"/>
    <w:rsid w:val="00CE141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E141E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msonospacing0">
    <w:name w:val="msonospacing"/>
    <w:rsid w:val="00CE141E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94789"/>
    <w:rPr>
      <w:rFonts w:ascii="Cambria" w:hAnsi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rsid w:val="00C947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947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</cp:revision>
  <cp:lastPrinted>2024-11-05T09:02:00Z</cp:lastPrinted>
  <dcterms:created xsi:type="dcterms:W3CDTF">2024-11-07T06:15:00Z</dcterms:created>
  <dcterms:modified xsi:type="dcterms:W3CDTF">2024-11-07T06:16:00Z</dcterms:modified>
</cp:coreProperties>
</file>