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5CD1">
        <w:rPr>
          <w:rFonts w:ascii="Times New Roman" w:hAnsi="Times New Roman" w:cs="Times New Roman"/>
          <w:sz w:val="28"/>
          <w:szCs w:val="28"/>
        </w:rPr>
        <w:t>Приложение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решению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</w:p>
    <w:p w:rsidR="00E45E47" w:rsidRPr="00735CD1" w:rsidRDefault="00075866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  <w:r w:rsidR="00E45E47"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08376B">
        <w:rPr>
          <w:rFonts w:ascii="Times New Roman" w:hAnsi="Times New Roman" w:cs="Times New Roman"/>
          <w:sz w:val="28"/>
          <w:szCs w:val="28"/>
        </w:rPr>
        <w:t>27 марта 2026 года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  </w:t>
      </w:r>
      <w:r w:rsidRPr="00735CD1">
        <w:rPr>
          <w:rFonts w:ascii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08376B">
        <w:rPr>
          <w:rFonts w:ascii="Times New Roman" w:hAnsi="Times New Roman" w:cs="Times New Roman"/>
          <w:sz w:val="28"/>
          <w:szCs w:val="28"/>
        </w:rPr>
        <w:t>40</w:t>
      </w:r>
    </w:p>
    <w:p w:rsidR="00E45E47" w:rsidRPr="00735CD1" w:rsidRDefault="00E45E47" w:rsidP="00735CD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1C3952" w:rsidRPr="00735CD1" w:rsidRDefault="001C3952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0758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Саракташский поссовет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735CD1" w:rsidRPr="00735CD1" w:rsidRDefault="00735CD1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F1">
        <w:rPr>
          <w:rFonts w:ascii="Times New Roman" w:eastAsia="Times New Roman" w:hAnsi="Times New Roman" w:cs="Times New Roman"/>
          <w:sz w:val="28"/>
          <w:szCs w:val="28"/>
        </w:rPr>
        <w:t>поссовет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носят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рекомендательный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F1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обладающие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избирательным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удобное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свободным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добровольным.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158" w:rsidRDefault="00536158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Инициатива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536158" w:rsidRPr="00735CD1" w:rsidRDefault="00536158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F1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735CD1" w:rsidRPr="00735CD1" w:rsidRDefault="00735CD1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устанавливаются: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формулировка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предлагаемого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(предлагаемых)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проинформированы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Вопросы,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выносимые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выноситься: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выносимые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сформулированы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ясно,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толкования.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Виды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тайного,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CD1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</w:t>
      </w:r>
      <w:r w:rsidR="00735CD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обобщением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проведению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созывается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местонахождение.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Местонахождение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обнародованы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транспорт,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выделенные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обнародование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(опубликование)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Положением;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(вопросах),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выносимом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периоде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(дате)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надлежащее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F4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материально-техническими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финансовыми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средствами;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прекращаются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F1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обладающие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избирательным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866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месяц)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Порядком,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образовываться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опубликованы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точная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формулировка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пустые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квадраты.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нумеруются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отделяются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горизонтальными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линиями.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Альтернативные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какого-либо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нумеруются.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разъяснение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углу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таблицу,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отчестве,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заменяющего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воспроизведенным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Положению.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странице.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Гласность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подготовке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10.1.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1DA6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721DA6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7D0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2A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7D02A3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10.2.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открыто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гласно.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11.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Тайное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7D0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2A3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7D02A3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7D02A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7D02A3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сервисов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опечатанные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предъявляет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расписаться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«Подпись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(кабинах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комнатах).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квадрате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словом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считает,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просьбой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испорченного.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делая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Испорченный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погашается,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акт.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опускаются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переносных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11.10.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жительство,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11.11.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аудиозапись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проводящее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волеизъявлением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личную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Установление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подсчитывает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оказавшихся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недействительными;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состоявшимся;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несостоявшимся;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одобренным,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проголосовало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проводился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голосовавшем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неустановленного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отметок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состоявшимся,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2A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12.6.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допущенные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достоверностью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2A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действительных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25%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8EA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объединениям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согласный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протоколу.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второму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12.10.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обязательном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хранятся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архив.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противоречащих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14.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Финансовое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обеспечение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Финансирование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Ответственность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прав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подкупа,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угроз,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подлога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препятствующие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свободному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Приложение № 1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735CD1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 опроса граждан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3B591E" w:rsidRPr="00735CD1" w:rsidRDefault="00721DA6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Саракташский поссовет</w:t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1C3952" w:rsidRPr="00735CD1" w:rsidRDefault="001C3952" w:rsidP="00735CD1">
      <w:pPr>
        <w:shd w:val="clear" w:color="auto" w:fill="FFFFFF"/>
        <w:spacing w:after="0" w:line="240" w:lineRule="auto"/>
        <w:ind w:left="3686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591E" w:rsidRPr="00735CD1" w:rsidRDefault="003B591E" w:rsidP="00735CD1">
      <w:pPr>
        <w:shd w:val="clear" w:color="auto" w:fill="FFFFFF"/>
        <w:spacing w:after="0" w:line="240" w:lineRule="auto"/>
        <w:ind w:left="3686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1C3952" w:rsidRPr="00735CD1" w:rsidRDefault="003B591E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</w:t>
      </w:r>
      <w:r w:rsidR="001C3952" w:rsidRPr="00735CD1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3952" w:rsidRPr="00735CD1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2"/>
        <w:gridCol w:w="1572"/>
        <w:gridCol w:w="1584"/>
        <w:gridCol w:w="1584"/>
      </w:tblGrid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(точная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вынесенного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  <w:r w:rsidR="001C3952" w:rsidRPr="0073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154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2"/>
        <w:gridCol w:w="1572"/>
        <w:gridCol w:w="1584"/>
        <w:gridCol w:w="1584"/>
      </w:tblGrid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</w:tc>
      </w:tr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(точная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вынесенного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вопроса)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154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735CD1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 опроса граждан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1DA6"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303"/>
        <w:gridCol w:w="1314"/>
        <w:gridCol w:w="1510"/>
        <w:gridCol w:w="1833"/>
        <w:gridCol w:w="702"/>
        <w:gridCol w:w="1276"/>
        <w:gridCol w:w="1275"/>
      </w:tblGrid>
      <w:tr w:rsidR="001C3952" w:rsidRPr="00735CD1" w:rsidTr="00735CD1">
        <w:tc>
          <w:tcPr>
            <w:tcW w:w="102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Опросный</w:t>
            </w:r>
            <w:r w:rsidR="003B591E"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</w:t>
            </w:r>
          </w:p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C3952" w:rsidRPr="00735CD1" w:rsidTr="00735CD1">
        <w:tc>
          <w:tcPr>
            <w:tcW w:w="10206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(точная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вынесенного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вопроса)</w:t>
            </w:r>
          </w:p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имя,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заменяющего)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CD1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303"/>
        <w:gridCol w:w="1314"/>
        <w:gridCol w:w="1510"/>
        <w:gridCol w:w="1833"/>
        <w:gridCol w:w="702"/>
        <w:gridCol w:w="1276"/>
        <w:gridCol w:w="1275"/>
      </w:tblGrid>
      <w:tr w:rsidR="00735CD1" w:rsidRPr="00735CD1" w:rsidTr="00735CD1">
        <w:tc>
          <w:tcPr>
            <w:tcW w:w="102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2: _____________________________________________________________</w:t>
            </w:r>
          </w:p>
        </w:tc>
      </w:tr>
      <w:tr w:rsidR="00735CD1" w:rsidRPr="00735CD1" w:rsidTr="00735CD1">
        <w:tc>
          <w:tcPr>
            <w:tcW w:w="10206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(точная формулировка вынесенного на опрос вопроса)</w:t>
            </w:r>
          </w:p>
          <w:p w:rsidR="00735CD1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паспорта (документа его заменяющего)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участника опроса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(данные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отчестве,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заменяющего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опрос)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9B7" w:rsidRPr="00735CD1" w:rsidRDefault="00DB69B7" w:rsidP="0073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9B7" w:rsidRPr="00735CD1" w:rsidSect="00F5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52"/>
    <w:rsid w:val="00001A2E"/>
    <w:rsid w:val="00075866"/>
    <w:rsid w:val="0008376B"/>
    <w:rsid w:val="0018102E"/>
    <w:rsid w:val="001C3952"/>
    <w:rsid w:val="00230B11"/>
    <w:rsid w:val="003B591E"/>
    <w:rsid w:val="003C74F4"/>
    <w:rsid w:val="003E736E"/>
    <w:rsid w:val="00412AA3"/>
    <w:rsid w:val="004A3642"/>
    <w:rsid w:val="00536158"/>
    <w:rsid w:val="00545B26"/>
    <w:rsid w:val="005608EA"/>
    <w:rsid w:val="005C25F1"/>
    <w:rsid w:val="005C4E2F"/>
    <w:rsid w:val="006C03F5"/>
    <w:rsid w:val="00721DA6"/>
    <w:rsid w:val="00735CD1"/>
    <w:rsid w:val="00761838"/>
    <w:rsid w:val="007D02A3"/>
    <w:rsid w:val="00925B86"/>
    <w:rsid w:val="00926F05"/>
    <w:rsid w:val="00954AA3"/>
    <w:rsid w:val="00B3494C"/>
    <w:rsid w:val="00CA484A"/>
    <w:rsid w:val="00D607FC"/>
    <w:rsid w:val="00DB69B7"/>
    <w:rsid w:val="00E4508C"/>
    <w:rsid w:val="00E45E47"/>
    <w:rsid w:val="00E743D7"/>
    <w:rsid w:val="00F57EE5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78C71-924E-43CE-86FE-8F2DDE2A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E5"/>
  </w:style>
  <w:style w:type="paragraph" w:styleId="6">
    <w:name w:val="heading 6"/>
    <w:basedOn w:val="a"/>
    <w:next w:val="a"/>
    <w:link w:val="60"/>
    <w:unhideWhenUsed/>
    <w:qFormat/>
    <w:rsid w:val="00E45E4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1C3952"/>
  </w:style>
  <w:style w:type="paragraph" w:customStyle="1" w:styleId="20">
    <w:name w:val="20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53857959bcx0">
    <w:name w:val="normaltextrun scxw53857959 bcx0"/>
    <w:basedOn w:val="a0"/>
    <w:rsid w:val="00E45E47"/>
  </w:style>
  <w:style w:type="character" w:customStyle="1" w:styleId="60">
    <w:name w:val="Заголовок 6 Знак"/>
    <w:basedOn w:val="a0"/>
    <w:link w:val="6"/>
    <w:rsid w:val="00E45E47"/>
    <w:rPr>
      <w:rFonts w:ascii="Calibri" w:eastAsia="Times New Roman" w:hAnsi="Calibri" w:cs="Times New Roman"/>
      <w:b/>
      <w:bCs/>
    </w:rPr>
  </w:style>
  <w:style w:type="paragraph" w:customStyle="1" w:styleId="ConsPlusTitle">
    <w:name w:val="ConsPlusTitle"/>
    <w:uiPriority w:val="99"/>
    <w:rsid w:val="00E45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4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47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954A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rsid w:val="003E73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E736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E63199DC-B27A-4C23-8403-F68F22FF8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2026-03-30T07:17:00Z</cp:lastPrinted>
  <dcterms:created xsi:type="dcterms:W3CDTF">2026-04-01T11:58:00Z</dcterms:created>
  <dcterms:modified xsi:type="dcterms:W3CDTF">2026-04-01T11:58:00Z</dcterms:modified>
</cp:coreProperties>
</file>